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2C0D" w14:textId="77777777" w:rsidR="00D02E29" w:rsidRPr="007814AC" w:rsidRDefault="007814AC" w:rsidP="00D02E29">
      <w:pPr>
        <w:rPr>
          <w:b/>
          <w:sz w:val="24"/>
          <w:szCs w:val="24"/>
        </w:rPr>
      </w:pPr>
      <w:r w:rsidRPr="007814AC">
        <w:rPr>
          <w:b/>
          <w:sz w:val="24"/>
          <w:szCs w:val="24"/>
        </w:rPr>
        <w:t>Antwortformular:</w:t>
      </w:r>
      <w:r w:rsidR="00D02E29" w:rsidRPr="007814AC">
        <w:rPr>
          <w:b/>
          <w:sz w:val="24"/>
          <w:szCs w:val="24"/>
        </w:rPr>
        <w:t xml:space="preserve"> Verordnung über Härtefallmassnahmen für Unternehmen in Zusammenhang mit der Covid-19-Epidemie (Covid-19-Härtefallverordnung)</w:t>
      </w:r>
    </w:p>
    <w:p w14:paraId="04FABC0D" w14:textId="77777777" w:rsidR="00D02E29" w:rsidRDefault="00D02E29" w:rsidP="00D02E29">
      <w:pPr>
        <w:rPr>
          <w:b/>
        </w:rPr>
      </w:pPr>
    </w:p>
    <w:p w14:paraId="220D0395" w14:textId="77777777" w:rsidR="00D02E29" w:rsidRDefault="00D02E29" w:rsidP="00D02E29"/>
    <w:p w14:paraId="684F4232" w14:textId="77777777" w:rsidR="00D02E29" w:rsidRDefault="00D02E29" w:rsidP="00D02E29">
      <w:pPr>
        <w:tabs>
          <w:tab w:val="left" w:pos="4536"/>
        </w:tabs>
        <w:spacing w:line="320" w:lineRule="exact"/>
        <w:rPr>
          <w:rFonts w:cs="Arial"/>
          <w:b/>
          <w:sz w:val="32"/>
          <w:szCs w:val="32"/>
        </w:rPr>
      </w:pPr>
      <w:r>
        <w:rPr>
          <w:rFonts w:cs="Arial"/>
          <w:b/>
          <w:sz w:val="32"/>
          <w:szCs w:val="32"/>
        </w:rPr>
        <w:t>Stellungnahme von</w:t>
      </w:r>
    </w:p>
    <w:p w14:paraId="43AB548D" w14:textId="77777777" w:rsidR="00D02E29" w:rsidRDefault="00D02E29" w:rsidP="00D02E29">
      <w:pPr>
        <w:tabs>
          <w:tab w:val="left" w:pos="4536"/>
        </w:tabs>
        <w:spacing w:line="320" w:lineRule="exact"/>
        <w:rPr>
          <w:rFonts w:cs="Arial"/>
          <w:b/>
          <w:sz w:val="32"/>
          <w:szCs w:val="32"/>
        </w:rPr>
      </w:pPr>
    </w:p>
    <w:p w14:paraId="1ED77DA4" w14:textId="2CF7C0C2" w:rsidR="00D02E29" w:rsidRDefault="00D02E29" w:rsidP="00D02E29">
      <w:pPr>
        <w:tabs>
          <w:tab w:val="left" w:pos="4111"/>
        </w:tabs>
        <w:spacing w:line="240" w:lineRule="exact"/>
        <w:rPr>
          <w:rFonts w:cs="Arial"/>
          <w:sz w:val="24"/>
          <w:szCs w:val="24"/>
        </w:rPr>
      </w:pPr>
      <w:r>
        <w:rPr>
          <w:rFonts w:cs="Arial"/>
          <w:sz w:val="24"/>
          <w:szCs w:val="24"/>
        </w:rPr>
        <w:t>Name / Firma / Organisation</w:t>
      </w:r>
      <w:r>
        <w:rPr>
          <w:rFonts w:cs="Arial"/>
          <w:sz w:val="24"/>
          <w:szCs w:val="24"/>
        </w:rPr>
        <w:tab/>
        <w:t xml:space="preserve">: </w:t>
      </w:r>
      <w:r w:rsidR="00BD7312">
        <w:rPr>
          <w:rFonts w:cs="Arial"/>
          <w:sz w:val="24"/>
          <w:szCs w:val="24"/>
        </w:rPr>
        <w:t>Schweizer Tourismus-Verband</w:t>
      </w:r>
    </w:p>
    <w:p w14:paraId="4BFBBCF1" w14:textId="77777777" w:rsidR="00D02E29" w:rsidRDefault="00D02E29" w:rsidP="00D02E29">
      <w:pPr>
        <w:tabs>
          <w:tab w:val="left" w:pos="4111"/>
        </w:tabs>
        <w:spacing w:line="240" w:lineRule="exact"/>
        <w:rPr>
          <w:rFonts w:cs="Arial"/>
          <w:sz w:val="24"/>
          <w:szCs w:val="24"/>
        </w:rPr>
      </w:pPr>
    </w:p>
    <w:p w14:paraId="138C4484" w14:textId="77777777" w:rsidR="00D02E29" w:rsidRDefault="00D02E29" w:rsidP="00D02E29">
      <w:pPr>
        <w:tabs>
          <w:tab w:val="left" w:pos="4111"/>
        </w:tabs>
        <w:spacing w:line="240" w:lineRule="exact"/>
        <w:rPr>
          <w:rFonts w:cs="Arial"/>
          <w:sz w:val="24"/>
          <w:szCs w:val="24"/>
        </w:rPr>
      </w:pPr>
    </w:p>
    <w:p w14:paraId="072D4310" w14:textId="3DCF14F1" w:rsidR="00D02E29" w:rsidRDefault="00D02E29" w:rsidP="00D02E29">
      <w:pPr>
        <w:tabs>
          <w:tab w:val="left" w:pos="4111"/>
        </w:tabs>
        <w:spacing w:line="240" w:lineRule="exact"/>
        <w:rPr>
          <w:rFonts w:cs="Arial"/>
          <w:sz w:val="24"/>
          <w:szCs w:val="24"/>
        </w:rPr>
      </w:pPr>
      <w:r>
        <w:rPr>
          <w:rFonts w:cs="Arial"/>
          <w:sz w:val="24"/>
          <w:szCs w:val="24"/>
        </w:rPr>
        <w:t>Abkürzung der Firma / Organisation</w:t>
      </w:r>
      <w:r>
        <w:rPr>
          <w:rFonts w:cs="Arial"/>
          <w:sz w:val="24"/>
          <w:szCs w:val="24"/>
        </w:rPr>
        <w:tab/>
        <w:t xml:space="preserve">: </w:t>
      </w:r>
      <w:r w:rsidR="00BD7312" w:rsidRPr="00BD7312">
        <w:rPr>
          <w:rFonts w:cs="Arial"/>
          <w:sz w:val="24"/>
          <w:szCs w:val="24"/>
        </w:rPr>
        <w:t>STV</w:t>
      </w:r>
    </w:p>
    <w:p w14:paraId="6E727EBF" w14:textId="77777777" w:rsidR="00D02E29" w:rsidRDefault="00D02E29" w:rsidP="00D02E29">
      <w:pPr>
        <w:tabs>
          <w:tab w:val="left" w:pos="4111"/>
        </w:tabs>
        <w:spacing w:line="240" w:lineRule="exact"/>
        <w:rPr>
          <w:rFonts w:cs="Arial"/>
          <w:sz w:val="24"/>
          <w:szCs w:val="24"/>
        </w:rPr>
      </w:pPr>
    </w:p>
    <w:p w14:paraId="39755F98" w14:textId="77777777" w:rsidR="00D02E29" w:rsidRDefault="00D02E29" w:rsidP="00D02E29">
      <w:pPr>
        <w:tabs>
          <w:tab w:val="left" w:pos="4111"/>
        </w:tabs>
        <w:spacing w:line="240" w:lineRule="exact"/>
        <w:rPr>
          <w:rFonts w:cs="Arial"/>
          <w:sz w:val="24"/>
          <w:szCs w:val="24"/>
        </w:rPr>
      </w:pPr>
    </w:p>
    <w:p w14:paraId="66E12DF2" w14:textId="77CBC909" w:rsidR="00D02E29" w:rsidRDefault="00D02E29" w:rsidP="00D02E29">
      <w:pPr>
        <w:tabs>
          <w:tab w:val="left" w:pos="4111"/>
        </w:tabs>
        <w:spacing w:line="240" w:lineRule="exact"/>
        <w:rPr>
          <w:rFonts w:cs="Arial"/>
          <w:sz w:val="24"/>
          <w:szCs w:val="24"/>
        </w:rPr>
      </w:pPr>
      <w:r>
        <w:rPr>
          <w:rFonts w:cs="Arial"/>
          <w:sz w:val="24"/>
          <w:szCs w:val="24"/>
        </w:rPr>
        <w:t>Adresse</w:t>
      </w:r>
      <w:r>
        <w:rPr>
          <w:rFonts w:cs="Arial"/>
          <w:sz w:val="24"/>
          <w:szCs w:val="24"/>
        </w:rPr>
        <w:tab/>
        <w:t xml:space="preserve">: </w:t>
      </w:r>
      <w:r w:rsidR="00BD7312" w:rsidRPr="00BD7312">
        <w:rPr>
          <w:rFonts w:cs="Arial"/>
          <w:sz w:val="24"/>
          <w:szCs w:val="24"/>
        </w:rPr>
        <w:t>Finkenhubelweg 11, 3012 Ber</w:t>
      </w:r>
      <w:r w:rsidR="00BD7312">
        <w:rPr>
          <w:rFonts w:cs="Arial"/>
          <w:sz w:val="24"/>
          <w:szCs w:val="24"/>
        </w:rPr>
        <w:t>n</w:t>
      </w:r>
    </w:p>
    <w:p w14:paraId="67AC940C" w14:textId="77777777" w:rsidR="00D02E29" w:rsidRDefault="00D02E29" w:rsidP="00D02E29">
      <w:pPr>
        <w:tabs>
          <w:tab w:val="left" w:pos="4111"/>
        </w:tabs>
        <w:spacing w:line="240" w:lineRule="exact"/>
        <w:rPr>
          <w:rFonts w:cs="Arial"/>
          <w:sz w:val="24"/>
          <w:szCs w:val="24"/>
        </w:rPr>
      </w:pPr>
    </w:p>
    <w:p w14:paraId="62B88938" w14:textId="77777777" w:rsidR="00D02E29" w:rsidRDefault="00D02E29" w:rsidP="00D02E29">
      <w:pPr>
        <w:tabs>
          <w:tab w:val="left" w:pos="4111"/>
        </w:tabs>
        <w:spacing w:line="240" w:lineRule="exact"/>
        <w:rPr>
          <w:rFonts w:cs="Arial"/>
          <w:sz w:val="24"/>
          <w:szCs w:val="24"/>
        </w:rPr>
      </w:pPr>
    </w:p>
    <w:p w14:paraId="5C7502A8" w14:textId="3947FB8A" w:rsidR="00D02E29" w:rsidRDefault="00D02E29" w:rsidP="00D02E29">
      <w:pPr>
        <w:tabs>
          <w:tab w:val="left" w:pos="4111"/>
        </w:tabs>
        <w:spacing w:line="240" w:lineRule="exact"/>
        <w:rPr>
          <w:rFonts w:cs="Arial"/>
          <w:sz w:val="24"/>
          <w:szCs w:val="24"/>
        </w:rPr>
      </w:pPr>
      <w:r>
        <w:rPr>
          <w:rFonts w:cs="Arial"/>
          <w:sz w:val="24"/>
          <w:szCs w:val="24"/>
        </w:rPr>
        <w:t>Kontaktperson</w:t>
      </w:r>
      <w:r>
        <w:rPr>
          <w:rFonts w:cs="Arial"/>
          <w:sz w:val="24"/>
          <w:szCs w:val="24"/>
        </w:rPr>
        <w:tab/>
        <w:t xml:space="preserve">: </w:t>
      </w:r>
      <w:r w:rsidR="00BD7312">
        <w:rPr>
          <w:rFonts w:cs="Arial"/>
          <w:sz w:val="24"/>
          <w:szCs w:val="24"/>
        </w:rPr>
        <w:t>Barbara Gisi, Direktorin</w:t>
      </w:r>
    </w:p>
    <w:p w14:paraId="0FF3D4A8" w14:textId="77777777" w:rsidR="00D02E29" w:rsidRDefault="00D02E29" w:rsidP="00D02E29">
      <w:pPr>
        <w:tabs>
          <w:tab w:val="left" w:pos="4111"/>
        </w:tabs>
        <w:spacing w:line="240" w:lineRule="exact"/>
        <w:rPr>
          <w:rFonts w:cs="Arial"/>
          <w:sz w:val="24"/>
          <w:szCs w:val="24"/>
        </w:rPr>
      </w:pPr>
    </w:p>
    <w:p w14:paraId="1831DA8B" w14:textId="77777777" w:rsidR="00D02E29" w:rsidRDefault="00D02E29" w:rsidP="00D02E29">
      <w:pPr>
        <w:tabs>
          <w:tab w:val="left" w:pos="4111"/>
        </w:tabs>
        <w:spacing w:line="240" w:lineRule="exact"/>
        <w:rPr>
          <w:rFonts w:cs="Arial"/>
          <w:sz w:val="24"/>
          <w:szCs w:val="24"/>
        </w:rPr>
      </w:pPr>
    </w:p>
    <w:p w14:paraId="4B99D219" w14:textId="551855E7" w:rsidR="00D02E29" w:rsidRDefault="00D02E29" w:rsidP="00D02E29">
      <w:pPr>
        <w:tabs>
          <w:tab w:val="left" w:pos="4111"/>
        </w:tabs>
        <w:spacing w:line="240" w:lineRule="exact"/>
        <w:rPr>
          <w:rFonts w:cs="Arial"/>
          <w:sz w:val="24"/>
          <w:szCs w:val="24"/>
        </w:rPr>
      </w:pPr>
      <w:r>
        <w:rPr>
          <w:rFonts w:cs="Arial"/>
          <w:sz w:val="24"/>
          <w:szCs w:val="24"/>
        </w:rPr>
        <w:t>Telefon</w:t>
      </w:r>
      <w:r>
        <w:rPr>
          <w:rFonts w:cs="Arial"/>
          <w:sz w:val="24"/>
          <w:szCs w:val="24"/>
        </w:rPr>
        <w:tab/>
        <w:t xml:space="preserve">: </w:t>
      </w:r>
      <w:r w:rsidR="00BD7312" w:rsidRPr="00BD7312">
        <w:rPr>
          <w:rFonts w:cs="Arial"/>
          <w:sz w:val="24"/>
          <w:szCs w:val="24"/>
        </w:rPr>
        <w:t>031 307 47 47</w:t>
      </w:r>
    </w:p>
    <w:p w14:paraId="671DED7C" w14:textId="77777777" w:rsidR="00D02E29" w:rsidRDefault="00D02E29" w:rsidP="00D02E29">
      <w:pPr>
        <w:tabs>
          <w:tab w:val="left" w:pos="4111"/>
        </w:tabs>
        <w:spacing w:line="240" w:lineRule="exact"/>
        <w:rPr>
          <w:rFonts w:cs="Arial"/>
          <w:sz w:val="24"/>
          <w:szCs w:val="24"/>
        </w:rPr>
      </w:pPr>
    </w:p>
    <w:p w14:paraId="022C972D" w14:textId="77777777" w:rsidR="00D02E29" w:rsidRDefault="00D02E29" w:rsidP="00D02E29">
      <w:pPr>
        <w:tabs>
          <w:tab w:val="left" w:pos="4111"/>
        </w:tabs>
        <w:spacing w:line="240" w:lineRule="exact"/>
        <w:rPr>
          <w:rFonts w:cs="Arial"/>
          <w:sz w:val="24"/>
          <w:szCs w:val="24"/>
        </w:rPr>
      </w:pPr>
    </w:p>
    <w:p w14:paraId="03B046C2" w14:textId="1382FF27" w:rsidR="00D02E29" w:rsidRDefault="00D02E29" w:rsidP="00D02E29">
      <w:pPr>
        <w:tabs>
          <w:tab w:val="left" w:pos="4111"/>
        </w:tabs>
        <w:spacing w:line="240" w:lineRule="exact"/>
        <w:rPr>
          <w:rFonts w:cs="Arial"/>
          <w:sz w:val="24"/>
          <w:szCs w:val="24"/>
        </w:rPr>
      </w:pPr>
      <w:r>
        <w:rPr>
          <w:rFonts w:cs="Arial"/>
          <w:sz w:val="24"/>
          <w:szCs w:val="24"/>
        </w:rPr>
        <w:t>E-Mail</w:t>
      </w:r>
      <w:r>
        <w:rPr>
          <w:rFonts w:cs="Arial"/>
          <w:sz w:val="24"/>
          <w:szCs w:val="24"/>
        </w:rPr>
        <w:tab/>
        <w:t xml:space="preserve">: </w:t>
      </w:r>
      <w:r w:rsidR="00BD7312">
        <w:rPr>
          <w:rFonts w:cs="Arial"/>
          <w:sz w:val="24"/>
          <w:szCs w:val="24"/>
        </w:rPr>
        <w:t>barbara.gisi@stv-fst.ch</w:t>
      </w:r>
    </w:p>
    <w:p w14:paraId="1C9736CE" w14:textId="77777777" w:rsidR="00D02E29" w:rsidRDefault="00D02E29" w:rsidP="00D02E29">
      <w:pPr>
        <w:tabs>
          <w:tab w:val="left" w:pos="4111"/>
        </w:tabs>
        <w:spacing w:line="240" w:lineRule="exact"/>
        <w:rPr>
          <w:rFonts w:cs="Arial"/>
          <w:sz w:val="24"/>
          <w:szCs w:val="24"/>
        </w:rPr>
      </w:pPr>
    </w:p>
    <w:p w14:paraId="701E3B64" w14:textId="77777777" w:rsidR="00D02E29" w:rsidRDefault="00D02E29" w:rsidP="00D02E29">
      <w:pPr>
        <w:tabs>
          <w:tab w:val="left" w:pos="4111"/>
        </w:tabs>
        <w:spacing w:line="240" w:lineRule="exact"/>
        <w:rPr>
          <w:rFonts w:cs="Arial"/>
          <w:sz w:val="24"/>
          <w:szCs w:val="24"/>
        </w:rPr>
      </w:pPr>
    </w:p>
    <w:p w14:paraId="52D94F9E" w14:textId="426498BB" w:rsidR="00D02E29" w:rsidRDefault="00D02E29" w:rsidP="00D02E29">
      <w:pPr>
        <w:tabs>
          <w:tab w:val="left" w:pos="4111"/>
        </w:tabs>
        <w:spacing w:line="240" w:lineRule="exact"/>
        <w:rPr>
          <w:rFonts w:cs="Arial"/>
          <w:sz w:val="24"/>
          <w:szCs w:val="24"/>
        </w:rPr>
      </w:pPr>
      <w:r>
        <w:rPr>
          <w:rFonts w:cs="Arial"/>
          <w:sz w:val="24"/>
          <w:szCs w:val="24"/>
        </w:rPr>
        <w:t>Datum</w:t>
      </w:r>
      <w:r>
        <w:rPr>
          <w:rFonts w:cs="Arial"/>
          <w:sz w:val="24"/>
          <w:szCs w:val="24"/>
        </w:rPr>
        <w:tab/>
        <w:t xml:space="preserve">: </w:t>
      </w:r>
      <w:r w:rsidR="00BD7312">
        <w:rPr>
          <w:rFonts w:cs="Arial"/>
          <w:sz w:val="24"/>
          <w:szCs w:val="24"/>
        </w:rPr>
        <w:t>1</w:t>
      </w:r>
      <w:r w:rsidR="00A26D09">
        <w:rPr>
          <w:rFonts w:cs="Arial"/>
          <w:sz w:val="24"/>
          <w:szCs w:val="24"/>
        </w:rPr>
        <w:t>3</w:t>
      </w:r>
      <w:r w:rsidR="00BD7312">
        <w:rPr>
          <w:rFonts w:cs="Arial"/>
          <w:sz w:val="24"/>
          <w:szCs w:val="24"/>
        </w:rPr>
        <w:t>.11.2020</w:t>
      </w:r>
    </w:p>
    <w:p w14:paraId="75D0525D" w14:textId="77777777" w:rsidR="00D02E29" w:rsidRDefault="00D02E29" w:rsidP="00D02E29">
      <w:pPr>
        <w:tabs>
          <w:tab w:val="left" w:pos="4111"/>
        </w:tabs>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1"/>
      </w:tblGrid>
      <w:tr w:rsidR="00D02E29" w14:paraId="576D591C" w14:textId="77777777" w:rsidTr="009A1915">
        <w:tc>
          <w:tcPr>
            <w:tcW w:w="15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F49E30" w14:textId="77777777" w:rsidR="00D02E29" w:rsidRDefault="00D02E29" w:rsidP="0021620B">
            <w:pPr>
              <w:rPr>
                <w:rFonts w:cs="Arial"/>
                <w:b/>
                <w:szCs w:val="22"/>
                <w:lang w:eastAsia="en-US"/>
              </w:rPr>
            </w:pPr>
            <w:r>
              <w:rPr>
                <w:rFonts w:cs="Arial"/>
                <w:b/>
                <w:szCs w:val="22"/>
                <w:lang w:eastAsia="en-US"/>
              </w:rPr>
              <w:t>Wichtige Hinweise:</w:t>
            </w:r>
          </w:p>
          <w:p w14:paraId="6A65808F" w14:textId="77777777" w:rsidR="00D02E29" w:rsidRDefault="00D02E29" w:rsidP="0021620B">
            <w:pPr>
              <w:rPr>
                <w:rFonts w:cs="Arial"/>
                <w:b/>
                <w:szCs w:val="22"/>
                <w:lang w:eastAsia="en-US"/>
              </w:rPr>
            </w:pPr>
          </w:p>
          <w:p w14:paraId="5301E815" w14:textId="77777777" w:rsidR="00D02E29" w:rsidRDefault="00D02E29" w:rsidP="0021620B">
            <w:pPr>
              <w:tabs>
                <w:tab w:val="left" w:pos="284"/>
              </w:tabs>
              <w:ind w:left="284" w:hanging="284"/>
              <w:rPr>
                <w:rFonts w:cs="Arial"/>
                <w:lang w:eastAsia="en-US"/>
              </w:rPr>
            </w:pPr>
            <w:r>
              <w:rPr>
                <w:rFonts w:cs="Arial"/>
                <w:lang w:eastAsia="en-US"/>
              </w:rPr>
              <w:t>1.</w:t>
            </w:r>
            <w:r>
              <w:rPr>
                <w:rFonts w:cs="Arial"/>
                <w:lang w:eastAsia="en-US"/>
              </w:rPr>
              <w:tab/>
              <w:t>Wir bitten Sie, keine Formatierungsänderungen im Formular vorzunehmen.</w:t>
            </w:r>
          </w:p>
          <w:p w14:paraId="0B314A52" w14:textId="77777777" w:rsidR="00D02E29" w:rsidRDefault="00D02E29" w:rsidP="0021620B">
            <w:pPr>
              <w:tabs>
                <w:tab w:val="left" w:pos="284"/>
              </w:tabs>
              <w:rPr>
                <w:rFonts w:cs="Arial"/>
                <w:lang w:eastAsia="en-US"/>
              </w:rPr>
            </w:pPr>
          </w:p>
          <w:p w14:paraId="7CFCD359" w14:textId="77777777" w:rsidR="00D02E29" w:rsidRDefault="00D02E29" w:rsidP="0021620B">
            <w:pPr>
              <w:tabs>
                <w:tab w:val="left" w:pos="284"/>
              </w:tabs>
              <w:rPr>
                <w:rFonts w:cs="Arial"/>
                <w:lang w:eastAsia="en-US"/>
              </w:rPr>
            </w:pPr>
            <w:r>
              <w:rPr>
                <w:rFonts w:cs="Arial"/>
                <w:lang w:eastAsia="en-US"/>
              </w:rPr>
              <w:t>2.</w:t>
            </w:r>
            <w:r>
              <w:rPr>
                <w:rFonts w:cs="Arial"/>
                <w:lang w:eastAsia="en-US"/>
              </w:rPr>
              <w:tab/>
              <w:t>Bitte pro Artikel, Absatz und Buchstabe oder pro Kapitel d</w:t>
            </w:r>
            <w:r w:rsidR="007814AC">
              <w:rPr>
                <w:rFonts w:cs="Arial"/>
                <w:lang w:eastAsia="en-US"/>
              </w:rPr>
              <w:t>es erläuternden Berichtes eine Tabellenz</w:t>
            </w:r>
            <w:r>
              <w:rPr>
                <w:rFonts w:cs="Arial"/>
                <w:lang w:eastAsia="en-US"/>
              </w:rPr>
              <w:t>eile verwenden.</w:t>
            </w:r>
          </w:p>
          <w:p w14:paraId="0A44F9F1" w14:textId="77777777" w:rsidR="00D02E29" w:rsidRDefault="00D02E29" w:rsidP="0021620B">
            <w:pPr>
              <w:rPr>
                <w:rFonts w:cs="Arial"/>
                <w:lang w:eastAsia="en-US"/>
              </w:rPr>
            </w:pPr>
          </w:p>
          <w:p w14:paraId="133548BA" w14:textId="77777777" w:rsidR="00D02E29" w:rsidRDefault="00D02E29" w:rsidP="0021620B">
            <w:pPr>
              <w:tabs>
                <w:tab w:val="left" w:pos="284"/>
              </w:tabs>
              <w:rPr>
                <w:rFonts w:cs="Arial"/>
                <w:lang w:eastAsia="en-US"/>
              </w:rPr>
            </w:pPr>
            <w:r>
              <w:rPr>
                <w:rFonts w:cs="Arial"/>
                <w:lang w:eastAsia="en-US"/>
              </w:rPr>
              <w:t>3.</w:t>
            </w:r>
            <w:r>
              <w:rPr>
                <w:rFonts w:cs="Arial"/>
                <w:lang w:eastAsia="en-US"/>
              </w:rPr>
              <w:tab/>
              <w:t xml:space="preserve">Ihre elektronische Stellungnahme senden Sie bitte </w:t>
            </w:r>
            <w:r>
              <w:rPr>
                <w:rFonts w:cs="Arial"/>
                <w:b/>
                <w:lang w:eastAsia="en-US"/>
              </w:rPr>
              <w:t>als Word-Dokument</w:t>
            </w:r>
            <w:r>
              <w:rPr>
                <w:rFonts w:cs="Arial"/>
                <w:lang w:eastAsia="en-US"/>
              </w:rPr>
              <w:t xml:space="preserve"> bis am </w:t>
            </w:r>
            <w:r w:rsidR="00A22049" w:rsidRPr="00776526">
              <w:rPr>
                <w:rFonts w:cs="Arial"/>
                <w:b/>
                <w:u w:val="single"/>
                <w:lang w:eastAsia="en-US"/>
              </w:rPr>
              <w:t>13</w:t>
            </w:r>
            <w:r w:rsidR="00DC48D5" w:rsidRPr="00776526">
              <w:rPr>
                <w:rFonts w:cs="Arial"/>
                <w:b/>
                <w:u w:val="single"/>
                <w:lang w:eastAsia="en-US"/>
              </w:rPr>
              <w:t>.</w:t>
            </w:r>
            <w:r>
              <w:rPr>
                <w:rFonts w:cs="Arial"/>
                <w:b/>
                <w:u w:val="single"/>
                <w:lang w:eastAsia="en-US"/>
              </w:rPr>
              <w:t xml:space="preserve"> </w:t>
            </w:r>
            <w:r w:rsidR="00DC48D5">
              <w:rPr>
                <w:rFonts w:cs="Arial"/>
                <w:b/>
                <w:u w:val="single"/>
                <w:lang w:eastAsia="en-US"/>
              </w:rPr>
              <w:t>November</w:t>
            </w:r>
            <w:r>
              <w:rPr>
                <w:rFonts w:cs="Arial"/>
                <w:b/>
                <w:u w:val="single"/>
                <w:lang w:eastAsia="en-US"/>
              </w:rPr>
              <w:t xml:space="preserve"> 2020</w:t>
            </w:r>
            <w:r>
              <w:rPr>
                <w:rFonts w:cs="Arial"/>
                <w:lang w:eastAsia="en-US"/>
              </w:rPr>
              <w:t xml:space="preserve"> an folgende E-Mail Adresse</w:t>
            </w:r>
            <w:r w:rsidR="00FF5670">
              <w:rPr>
                <w:rFonts w:cs="Arial"/>
                <w:lang w:eastAsia="en-US"/>
              </w:rPr>
              <w:t>n</w:t>
            </w:r>
            <w:r>
              <w:rPr>
                <w:rFonts w:cs="Arial"/>
                <w:lang w:eastAsia="en-US"/>
              </w:rPr>
              <w:t xml:space="preserve">: </w:t>
            </w:r>
            <w:r w:rsidR="00FF5670">
              <w:rPr>
                <w:rFonts w:cs="Arial"/>
                <w:lang w:eastAsia="en-US"/>
              </w:rPr>
              <w:t xml:space="preserve">Marianne.Widmer@efv.admin.ch; </w:t>
            </w:r>
            <w:r w:rsidR="00FF5670" w:rsidRPr="00FF5670">
              <w:rPr>
                <w:rFonts w:cs="Arial"/>
                <w:lang w:eastAsia="en-US"/>
              </w:rPr>
              <w:t>Lukas.Hohl@efv.admin.ch</w:t>
            </w:r>
          </w:p>
          <w:p w14:paraId="7E33C78E" w14:textId="77777777" w:rsidR="00FF5670" w:rsidRDefault="00FF5670" w:rsidP="0021620B">
            <w:pPr>
              <w:tabs>
                <w:tab w:val="left" w:pos="284"/>
              </w:tabs>
              <w:rPr>
                <w:rFonts w:cs="Arial"/>
                <w:szCs w:val="22"/>
                <w:lang w:eastAsia="en-US"/>
              </w:rPr>
            </w:pPr>
          </w:p>
          <w:p w14:paraId="237B9770" w14:textId="77777777" w:rsidR="00D02E29" w:rsidRDefault="00D02E29" w:rsidP="007814AC">
            <w:pPr>
              <w:tabs>
                <w:tab w:val="left" w:pos="284"/>
              </w:tabs>
              <w:jc w:val="center"/>
              <w:rPr>
                <w:rFonts w:cs="Arial"/>
                <w:sz w:val="24"/>
                <w:szCs w:val="24"/>
                <w:lang w:eastAsia="en-US"/>
              </w:rPr>
            </w:pPr>
            <w:r>
              <w:rPr>
                <w:rFonts w:cs="Arial"/>
                <w:b/>
                <w:lang w:eastAsia="en-US"/>
              </w:rPr>
              <w:t xml:space="preserve">Herzlichen Dank für Ihre </w:t>
            </w:r>
            <w:r w:rsidR="007814AC">
              <w:rPr>
                <w:rFonts w:cs="Arial"/>
                <w:b/>
                <w:lang w:eastAsia="en-US"/>
              </w:rPr>
              <w:t>Stellungnahme</w:t>
            </w:r>
            <w:r>
              <w:rPr>
                <w:rFonts w:cs="Arial"/>
                <w:b/>
                <w:lang w:eastAsia="en-US"/>
              </w:rPr>
              <w:t>!</w:t>
            </w:r>
          </w:p>
        </w:tc>
      </w:tr>
    </w:tbl>
    <w:p w14:paraId="19007492" w14:textId="77777777" w:rsidR="00686684" w:rsidRDefault="00686684" w:rsidP="0068668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F5670" w14:paraId="1CC6E4B2" w14:textId="77777777" w:rsidTr="00514D17">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84C002" w14:textId="77777777" w:rsidR="00FF5670" w:rsidRPr="00595D4E" w:rsidRDefault="00FF5670" w:rsidP="00514D17">
            <w:pPr>
              <w:pStyle w:val="berschrift1"/>
              <w:numPr>
                <w:ilvl w:val="0"/>
                <w:numId w:val="41"/>
              </w:numPr>
              <w:spacing w:before="0"/>
              <w:ind w:left="0"/>
              <w:rPr>
                <w:sz w:val="32"/>
              </w:rPr>
            </w:pPr>
            <w:r>
              <w:rPr>
                <w:sz w:val="32"/>
              </w:rPr>
              <w:lastRenderedPageBreak/>
              <w:t>Allgemeine Bemerkungen</w:t>
            </w:r>
          </w:p>
        </w:tc>
      </w:tr>
      <w:tr w:rsidR="00FF5670" w14:paraId="66E3988B" w14:textId="77777777" w:rsidTr="00D447A8">
        <w:tc>
          <w:tcPr>
            <w:tcW w:w="9061" w:type="dxa"/>
            <w:tcBorders>
              <w:top w:val="single" w:sz="4" w:space="0" w:color="auto"/>
              <w:left w:val="single" w:sz="4" w:space="0" w:color="auto"/>
              <w:bottom w:val="single" w:sz="4" w:space="0" w:color="auto"/>
              <w:right w:val="single" w:sz="4" w:space="0" w:color="auto"/>
            </w:tcBorders>
            <w:hideMark/>
          </w:tcPr>
          <w:p w14:paraId="11A7FE02" w14:textId="77777777" w:rsidR="006B3C7D" w:rsidRDefault="00BD7312" w:rsidP="00BD7312">
            <w:pPr>
              <w:spacing w:before="60" w:after="60"/>
              <w:rPr>
                <w:rFonts w:cs="Arial"/>
                <w:lang w:eastAsia="en-US"/>
              </w:rPr>
            </w:pPr>
            <w:r w:rsidRPr="00BD7312">
              <w:rPr>
                <w:rFonts w:cs="Arial"/>
                <w:lang w:eastAsia="en-US"/>
              </w:rPr>
              <w:t>Das Ziel der Vorlag</w:t>
            </w:r>
            <w:r w:rsidR="001A7BB8">
              <w:rPr>
                <w:rFonts w:cs="Arial"/>
                <w:lang w:eastAsia="en-US"/>
              </w:rPr>
              <w:t>e</w:t>
            </w:r>
            <w:r w:rsidRPr="00BD7312">
              <w:rPr>
                <w:rFonts w:cs="Arial"/>
                <w:lang w:eastAsia="en-US"/>
              </w:rPr>
              <w:t>, die Ausführungsbestimmungen in Bezug auf die Beteiligung des Bundes an kantonalen Unterstützungsmassnahmen für Härtefälle festzulegen</w:t>
            </w:r>
            <w:r w:rsidR="001A7BB8">
              <w:rPr>
                <w:rFonts w:cs="Arial"/>
                <w:lang w:eastAsia="en-US"/>
              </w:rPr>
              <w:t>, ist zu begrüssen</w:t>
            </w:r>
            <w:r w:rsidRPr="00BD7312">
              <w:rPr>
                <w:rFonts w:cs="Arial"/>
                <w:lang w:eastAsia="en-US"/>
              </w:rPr>
              <w:t>. Mit Blick auf Sinn und Zweck der Härtefalllösung – namentlich besonders stark von der Covid-19-Krise betroffene Unternehmen finanziell zu unterstützen – verfehlt der vorliegende Entwurf sein Ziel. Gerade jenen Unternehmen, welche am dringendsten auf eine solche Hilfe angewiesen wären, würde tendenziell deren Zugang erschwert. Darunter sind längst auch solche</w:t>
            </w:r>
            <w:r w:rsidR="001A7BB8">
              <w:rPr>
                <w:rFonts w:cs="Arial"/>
                <w:lang w:eastAsia="en-US"/>
              </w:rPr>
              <w:t xml:space="preserve">, </w:t>
            </w:r>
            <w:r w:rsidRPr="00BD7312">
              <w:rPr>
                <w:rFonts w:cs="Arial"/>
                <w:lang w:eastAsia="en-US"/>
              </w:rPr>
              <w:t xml:space="preserve">die vor der Krise finanziell gesund und überlebensfähig waren und sich nun unverschuldet in finanzieller Schieflage befinden. </w:t>
            </w:r>
          </w:p>
          <w:p w14:paraId="0200F9DC" w14:textId="62948809" w:rsidR="00BD7312" w:rsidRDefault="00BD7312" w:rsidP="00BD7312">
            <w:pPr>
              <w:spacing w:before="60" w:after="60"/>
              <w:rPr>
                <w:rFonts w:cs="Arial"/>
                <w:lang w:eastAsia="en-US"/>
              </w:rPr>
            </w:pPr>
            <w:r w:rsidRPr="00BD7312">
              <w:rPr>
                <w:rFonts w:cs="Arial"/>
                <w:lang w:eastAsia="en-US"/>
              </w:rPr>
              <w:t xml:space="preserve">Um einer Konkurs- und Entlassungswelle </w:t>
            </w:r>
            <w:r w:rsidR="00682446">
              <w:rPr>
                <w:rFonts w:cs="Arial"/>
                <w:lang w:eastAsia="en-US"/>
              </w:rPr>
              <w:t>im</w:t>
            </w:r>
            <w:r w:rsidRPr="00BD7312">
              <w:rPr>
                <w:rFonts w:cs="Arial"/>
                <w:lang w:eastAsia="en-US"/>
              </w:rPr>
              <w:t xml:space="preserve"> Tourismus</w:t>
            </w:r>
            <w:r w:rsidR="00682446">
              <w:rPr>
                <w:rFonts w:cs="Arial"/>
                <w:lang w:eastAsia="en-US"/>
              </w:rPr>
              <w:t>sektor</w:t>
            </w:r>
            <w:r w:rsidRPr="00BD7312">
              <w:rPr>
                <w:rFonts w:cs="Arial"/>
                <w:lang w:eastAsia="en-US"/>
              </w:rPr>
              <w:t xml:space="preserve"> entgegenzuwirken, bedarf die Vorlage eine sofortige Umsetzung und Anpassungen insbesondere folgende</w:t>
            </w:r>
            <w:r w:rsidR="00A26D09">
              <w:rPr>
                <w:rFonts w:cs="Arial"/>
                <w:lang w:eastAsia="en-US"/>
              </w:rPr>
              <w:t>r</w:t>
            </w:r>
            <w:r w:rsidRPr="00BD7312">
              <w:rPr>
                <w:rFonts w:cs="Arial"/>
                <w:lang w:eastAsia="en-US"/>
              </w:rPr>
              <w:t xml:space="preserve"> Punkte: </w:t>
            </w:r>
          </w:p>
          <w:p w14:paraId="038BCC4A" w14:textId="77777777" w:rsidR="00BD7312" w:rsidRPr="00BD7312" w:rsidRDefault="00BD7312" w:rsidP="00BD7312">
            <w:pPr>
              <w:spacing w:before="60" w:after="60"/>
              <w:rPr>
                <w:rFonts w:cs="Arial"/>
                <w:lang w:eastAsia="en-US"/>
              </w:rPr>
            </w:pPr>
          </w:p>
          <w:p w14:paraId="7A7E1D06" w14:textId="4D01F00A" w:rsidR="00BD7312" w:rsidRPr="00BD7312" w:rsidRDefault="00BD7312" w:rsidP="00BD7312">
            <w:pPr>
              <w:spacing w:before="60" w:after="60"/>
              <w:rPr>
                <w:rFonts w:cs="Arial"/>
                <w:b/>
                <w:bCs/>
                <w:lang w:eastAsia="en-US"/>
              </w:rPr>
            </w:pPr>
            <w:r w:rsidRPr="00BD7312">
              <w:rPr>
                <w:rFonts w:cs="Arial"/>
                <w:b/>
                <w:bCs/>
                <w:lang w:eastAsia="en-US"/>
              </w:rPr>
              <w:t xml:space="preserve">Definition von «profitablen und überlebensfähigen» Unternehmen: </w:t>
            </w:r>
          </w:p>
          <w:p w14:paraId="532C6C0B" w14:textId="2EEBD425" w:rsidR="00BD7312" w:rsidRPr="00BD7312" w:rsidRDefault="00BD7312" w:rsidP="001A7BB8">
            <w:pPr>
              <w:pStyle w:val="Listenabsatz"/>
              <w:numPr>
                <w:ilvl w:val="0"/>
                <w:numId w:val="45"/>
              </w:numPr>
              <w:spacing w:before="60" w:after="60"/>
              <w:rPr>
                <w:rFonts w:cs="Arial"/>
                <w:lang w:eastAsia="en-US"/>
              </w:rPr>
            </w:pPr>
            <w:r w:rsidRPr="00BD7312">
              <w:rPr>
                <w:rFonts w:cs="Arial"/>
                <w:lang w:eastAsia="en-US"/>
              </w:rPr>
              <w:t xml:space="preserve">Das Jahr 2020 ist bei der Beurteilung, ob eine Überschuldung vorliegt, nicht zu berücksichtigen (Anpassung Art. 4 Abs. 2 Bst. a); </w:t>
            </w:r>
          </w:p>
          <w:p w14:paraId="6A39D310" w14:textId="4A896BCB" w:rsidR="00BD7312" w:rsidRDefault="00BD7312" w:rsidP="001A7BB8">
            <w:pPr>
              <w:pStyle w:val="Listenabsatz"/>
              <w:numPr>
                <w:ilvl w:val="0"/>
                <w:numId w:val="45"/>
              </w:numPr>
              <w:spacing w:before="60" w:after="60"/>
              <w:rPr>
                <w:rFonts w:cs="Arial"/>
                <w:lang w:eastAsia="en-US"/>
              </w:rPr>
            </w:pPr>
            <w:r w:rsidRPr="00BD7312">
              <w:rPr>
                <w:rFonts w:cs="Arial"/>
                <w:lang w:eastAsia="en-US"/>
              </w:rPr>
              <w:t xml:space="preserve">Keine mittelfristige Finanzplanung, sondern eine, welche zum Zeitpunkt der Gesucheinreichung glaubhaft aufzeigen kann, wie die Finanzierung des Unternehmens unter Annahme keiner weiteren behördlichen Einschränkungen gesichert werden kann (Anpassung Art. 4 Abs. 2 Bst. d). </w:t>
            </w:r>
          </w:p>
          <w:p w14:paraId="14F9263D" w14:textId="77777777" w:rsidR="001A7BB8" w:rsidRPr="00BD7312" w:rsidRDefault="001A7BB8" w:rsidP="001A7BB8">
            <w:pPr>
              <w:pStyle w:val="Listenabsatz"/>
              <w:spacing w:before="60" w:after="60"/>
              <w:rPr>
                <w:rFonts w:cs="Arial"/>
                <w:lang w:eastAsia="en-US"/>
              </w:rPr>
            </w:pPr>
          </w:p>
          <w:p w14:paraId="4762EA53" w14:textId="3BF8A6CA" w:rsidR="00BD7312" w:rsidRPr="00BD7312" w:rsidRDefault="00BD7312" w:rsidP="00BD7312">
            <w:pPr>
              <w:spacing w:before="60" w:after="60"/>
              <w:rPr>
                <w:rFonts w:cs="Arial"/>
                <w:b/>
                <w:bCs/>
                <w:lang w:eastAsia="en-US"/>
              </w:rPr>
            </w:pPr>
            <w:r w:rsidRPr="00BD7312">
              <w:rPr>
                <w:rFonts w:cs="Arial"/>
                <w:b/>
                <w:bCs/>
                <w:lang w:eastAsia="en-US"/>
              </w:rPr>
              <w:t xml:space="preserve">Definition von Umsatzrückgang: </w:t>
            </w:r>
          </w:p>
          <w:p w14:paraId="38C44001" w14:textId="5E437EE3" w:rsidR="00BD7312" w:rsidRDefault="00BD7312" w:rsidP="001A7BB8">
            <w:pPr>
              <w:pStyle w:val="Listenabsatz"/>
              <w:numPr>
                <w:ilvl w:val="0"/>
                <w:numId w:val="45"/>
              </w:numPr>
              <w:spacing w:before="60" w:after="60"/>
              <w:rPr>
                <w:rFonts w:cs="Arial"/>
                <w:lang w:eastAsia="en-US"/>
              </w:rPr>
            </w:pPr>
            <w:r w:rsidRPr="00BD7312">
              <w:rPr>
                <w:rFonts w:cs="Arial"/>
                <w:lang w:eastAsia="en-US"/>
              </w:rPr>
              <w:t>Der Umsatz 2020 berechnet sich ausschliesslich über den Wert der verkauften Waren und erbrachten Dienstleistungen; erlassene Aufwendungen sind nicht dazuzuzählen (z. B. KAE, CEE, Mieterlass) (Anpassung Art. 5 Abs. 2).</w:t>
            </w:r>
          </w:p>
          <w:p w14:paraId="5E67AA26" w14:textId="666F925F" w:rsidR="001A7BB8" w:rsidRPr="001A7BB8" w:rsidRDefault="001A7BB8" w:rsidP="001A7BB8">
            <w:pPr>
              <w:pStyle w:val="Listenabsatz"/>
              <w:numPr>
                <w:ilvl w:val="0"/>
                <w:numId w:val="45"/>
              </w:numPr>
              <w:spacing w:before="60" w:after="120"/>
              <w:contextualSpacing w:val="0"/>
              <w:rPr>
                <w:rFonts w:cs="Arial"/>
                <w:lang w:eastAsia="en-US"/>
              </w:rPr>
            </w:pPr>
            <w:r w:rsidRPr="00CE7AC8">
              <w:rPr>
                <w:rFonts w:cs="Arial"/>
                <w:lang w:eastAsia="en-US"/>
              </w:rPr>
              <w:t xml:space="preserve">Unternehmen, deren Jahresumsatz zwischen 30 % und 40 % unter dem durchschnittlichen Jahresumsatz der Jahre 2018 und 2019 liegt, </w:t>
            </w:r>
            <w:r>
              <w:rPr>
                <w:rFonts w:cs="Arial"/>
                <w:lang w:eastAsia="en-US"/>
              </w:rPr>
              <w:t>sollen</w:t>
            </w:r>
            <w:r w:rsidRPr="00CE7AC8">
              <w:rPr>
                <w:rFonts w:cs="Arial"/>
                <w:lang w:eastAsia="en-US"/>
              </w:rPr>
              <w:t xml:space="preserve"> ebenfalls </w:t>
            </w:r>
            <w:r>
              <w:rPr>
                <w:rFonts w:cs="Arial"/>
                <w:lang w:eastAsia="en-US"/>
              </w:rPr>
              <w:t>unter die Härtefallregelung fallen und in reduziertem Mass unterstützt werden (Ergänzung Art. 5 Abs. 4 und Art. 8 Abs. 4)</w:t>
            </w:r>
            <w:r w:rsidRPr="00CE7AC8">
              <w:rPr>
                <w:rFonts w:cs="Arial"/>
                <w:lang w:eastAsia="en-US"/>
              </w:rPr>
              <w:t>.</w:t>
            </w:r>
          </w:p>
          <w:p w14:paraId="716C1E3D" w14:textId="77777777" w:rsidR="001A7BB8" w:rsidRPr="00BD7312" w:rsidRDefault="001A7BB8" w:rsidP="001A7BB8">
            <w:pPr>
              <w:pStyle w:val="Listenabsatz"/>
              <w:spacing w:before="60" w:after="60"/>
              <w:rPr>
                <w:rFonts w:cs="Arial"/>
                <w:lang w:eastAsia="en-US"/>
              </w:rPr>
            </w:pPr>
          </w:p>
          <w:p w14:paraId="5BD835A3" w14:textId="132863A0" w:rsidR="00BD7312" w:rsidRPr="00BD7312" w:rsidRDefault="00BD7312" w:rsidP="00BD7312">
            <w:pPr>
              <w:spacing w:before="60" w:after="60"/>
              <w:rPr>
                <w:rFonts w:cs="Arial"/>
                <w:b/>
                <w:bCs/>
                <w:lang w:eastAsia="en-US"/>
              </w:rPr>
            </w:pPr>
            <w:r w:rsidRPr="00BD7312">
              <w:rPr>
                <w:rFonts w:cs="Arial"/>
                <w:b/>
                <w:bCs/>
                <w:lang w:eastAsia="en-US"/>
              </w:rPr>
              <w:t xml:space="preserve">Ausgestaltung der Härtefallmassnahmen: </w:t>
            </w:r>
          </w:p>
          <w:p w14:paraId="108E8ECD" w14:textId="3D87DBBE" w:rsidR="00BD7312" w:rsidRPr="00BD7312" w:rsidRDefault="00BD7312" w:rsidP="001A7BB8">
            <w:pPr>
              <w:pStyle w:val="Listenabsatz"/>
              <w:numPr>
                <w:ilvl w:val="0"/>
                <w:numId w:val="45"/>
              </w:numPr>
              <w:spacing w:before="60" w:after="60"/>
              <w:rPr>
                <w:rFonts w:cs="Arial"/>
                <w:lang w:eastAsia="en-US"/>
              </w:rPr>
            </w:pPr>
            <w:r w:rsidRPr="00BD7312">
              <w:rPr>
                <w:rFonts w:cs="Arial"/>
                <w:lang w:eastAsia="en-US"/>
              </w:rPr>
              <w:t>Ein Unternehmen kann gleichzeitig mehrere Formen von Hilfen beanspruchen (</w:t>
            </w:r>
            <w:r w:rsidR="002D5C0E" w:rsidRPr="002D5C0E">
              <w:rPr>
                <w:rFonts w:cs="Arial"/>
                <w:lang w:eastAsia="en-US"/>
              </w:rPr>
              <w:t>Streichen Art. 7 Abs. 3</w:t>
            </w:r>
            <w:r w:rsidRPr="00BD7312">
              <w:rPr>
                <w:rFonts w:cs="Arial"/>
                <w:lang w:eastAsia="en-US"/>
              </w:rPr>
              <w:t xml:space="preserve">); </w:t>
            </w:r>
          </w:p>
          <w:p w14:paraId="4809071E" w14:textId="5BD106FD" w:rsidR="00BD7312" w:rsidRDefault="00BD7312" w:rsidP="001A7BB8">
            <w:pPr>
              <w:pStyle w:val="Listenabsatz"/>
              <w:numPr>
                <w:ilvl w:val="0"/>
                <w:numId w:val="45"/>
              </w:numPr>
              <w:spacing w:before="60" w:after="60"/>
              <w:rPr>
                <w:rFonts w:cs="Arial"/>
                <w:lang w:eastAsia="en-US"/>
              </w:rPr>
            </w:pPr>
            <w:r w:rsidRPr="00BD7312">
              <w:rPr>
                <w:rFonts w:cs="Arial"/>
                <w:lang w:eastAsia="en-US"/>
              </w:rPr>
              <w:t xml:space="preserve">Dabei gelten bei a-fond-perdu-Beiträgen flexible Höchstgrenzen (Anpassung Art. 8 Abs. 2). A-fond-perdu-Beiträge kommen prioritär zum Einsatz. </w:t>
            </w:r>
          </w:p>
          <w:p w14:paraId="7D06096C" w14:textId="77777777" w:rsidR="001A7BB8" w:rsidRPr="00BD7312" w:rsidRDefault="001A7BB8" w:rsidP="001A7BB8">
            <w:pPr>
              <w:pStyle w:val="Listenabsatz"/>
              <w:spacing w:before="60" w:after="60"/>
              <w:rPr>
                <w:rFonts w:cs="Arial"/>
                <w:lang w:eastAsia="en-US"/>
              </w:rPr>
            </w:pPr>
          </w:p>
          <w:p w14:paraId="1D62F007" w14:textId="4716F812" w:rsidR="00BD7312" w:rsidRPr="00BD7312" w:rsidRDefault="001A7BB8" w:rsidP="00BD7312">
            <w:pPr>
              <w:spacing w:before="60" w:after="60"/>
              <w:rPr>
                <w:rFonts w:cs="Arial"/>
                <w:b/>
                <w:bCs/>
                <w:lang w:eastAsia="en-US"/>
              </w:rPr>
            </w:pPr>
            <w:r>
              <w:rPr>
                <w:rFonts w:cs="Arial"/>
                <w:b/>
                <w:bCs/>
                <w:lang w:eastAsia="en-US"/>
              </w:rPr>
              <w:t>Höhere Beteiligung</w:t>
            </w:r>
            <w:r w:rsidR="00BD7312" w:rsidRPr="00BD7312">
              <w:rPr>
                <w:rFonts w:cs="Arial"/>
                <w:b/>
                <w:bCs/>
                <w:lang w:eastAsia="en-US"/>
              </w:rPr>
              <w:t xml:space="preserve"> des Bundes an kantonalen Härtefallmassnahmen:  </w:t>
            </w:r>
          </w:p>
          <w:p w14:paraId="779F061F" w14:textId="1508F569" w:rsidR="00BD7312" w:rsidRPr="00BD7312" w:rsidRDefault="00BD7312" w:rsidP="001A7BB8">
            <w:pPr>
              <w:pStyle w:val="Listenabsatz"/>
              <w:numPr>
                <w:ilvl w:val="0"/>
                <w:numId w:val="45"/>
              </w:numPr>
              <w:spacing w:before="60" w:after="60"/>
              <w:rPr>
                <w:rFonts w:cs="Arial"/>
                <w:lang w:eastAsia="en-US"/>
              </w:rPr>
            </w:pPr>
            <w:r w:rsidRPr="00BD7312">
              <w:rPr>
                <w:rFonts w:cs="Arial"/>
                <w:lang w:eastAsia="en-US"/>
              </w:rPr>
              <w:t>Derzeit beträgt die maximale Summe für Härtefallmassnahmen 400 Millionen Franken – dies unter der Annahme, dass sich Bund und Kantone zu je der Hälfte daran beteiligen. Diese Gesamtsumme ist substanziell zu erhöhen</w:t>
            </w:r>
            <w:r w:rsidR="002D5C0E">
              <w:rPr>
                <w:rFonts w:cs="Arial"/>
                <w:lang w:eastAsia="en-US"/>
              </w:rPr>
              <w:t>, der STV geht von einem Gesamtfinanzbedarf von 1800 Millionen aus, welche der Tourismussektor benötigt</w:t>
            </w:r>
            <w:r w:rsidRPr="00BD7312">
              <w:rPr>
                <w:rFonts w:cs="Arial"/>
                <w:lang w:eastAsia="en-US"/>
              </w:rPr>
              <w:t xml:space="preserve"> (Anpassung Art. 14);</w:t>
            </w:r>
          </w:p>
          <w:p w14:paraId="52F3AD62" w14:textId="77777777" w:rsidR="001246F1" w:rsidRDefault="00BD7312" w:rsidP="001A7BB8">
            <w:pPr>
              <w:pStyle w:val="Listenabsatz"/>
              <w:numPr>
                <w:ilvl w:val="0"/>
                <w:numId w:val="45"/>
              </w:numPr>
              <w:spacing w:before="60" w:after="60"/>
              <w:rPr>
                <w:rFonts w:cs="Arial"/>
                <w:lang w:eastAsia="en-US"/>
              </w:rPr>
            </w:pPr>
            <w:r w:rsidRPr="00BD7312">
              <w:rPr>
                <w:rFonts w:cs="Arial"/>
                <w:lang w:eastAsia="en-US"/>
              </w:rPr>
              <w:t>Weil gewisse Kantone nicht über die nötigen Mittel verfügen dürften</w:t>
            </w:r>
            <w:r w:rsidR="001246F1">
              <w:rPr>
                <w:rFonts w:cs="Arial"/>
                <w:lang w:eastAsia="en-US"/>
              </w:rPr>
              <w:t xml:space="preserve"> und um Wettbewerbsverzerrungen zu verhindern</w:t>
            </w:r>
            <w:r w:rsidRPr="00BD7312">
              <w:rPr>
                <w:rFonts w:cs="Arial"/>
                <w:lang w:eastAsia="en-US"/>
              </w:rPr>
              <w:t xml:space="preserve">, soll die Bundesbeteiligung </w:t>
            </w:r>
            <w:r w:rsidR="001246F1">
              <w:rPr>
                <w:rFonts w:cs="Arial"/>
                <w:lang w:eastAsia="en-US"/>
              </w:rPr>
              <w:t>80</w:t>
            </w:r>
            <w:r w:rsidRPr="00BD7312">
              <w:rPr>
                <w:rFonts w:cs="Arial"/>
                <w:lang w:eastAsia="en-US"/>
              </w:rPr>
              <w:t>% betragen (Anpassung Art. 17)</w:t>
            </w:r>
            <w:r w:rsidR="001246F1">
              <w:rPr>
                <w:rFonts w:cs="Arial"/>
                <w:lang w:eastAsia="en-US"/>
              </w:rPr>
              <w:t>;</w:t>
            </w:r>
          </w:p>
          <w:p w14:paraId="15403D95" w14:textId="55AD5268" w:rsidR="00FF5670" w:rsidRDefault="001246F1" w:rsidP="001A7BB8">
            <w:pPr>
              <w:pStyle w:val="Listenabsatz"/>
              <w:numPr>
                <w:ilvl w:val="0"/>
                <w:numId w:val="45"/>
              </w:numPr>
              <w:spacing w:before="60" w:after="60"/>
              <w:rPr>
                <w:rFonts w:cs="Arial"/>
                <w:lang w:eastAsia="en-US"/>
              </w:rPr>
            </w:pPr>
            <w:r w:rsidRPr="001A7BB8">
              <w:rPr>
                <w:rFonts w:cs="Arial"/>
                <w:lang w:eastAsia="en-US"/>
              </w:rPr>
              <w:t xml:space="preserve">Die Umsetzung dieser Bestimmung erfordert zudem die Anpassung von Art. 12 </w:t>
            </w:r>
            <w:r w:rsidR="001A7BB8" w:rsidRPr="001A7BB8">
              <w:rPr>
                <w:rFonts w:cs="Arial"/>
                <w:lang w:eastAsia="en-US"/>
              </w:rPr>
              <w:t>des Covid-19-Gesetzes.</w:t>
            </w:r>
            <w:r w:rsidR="001A7BB8">
              <w:rPr>
                <w:rFonts w:cs="Arial"/>
                <w:lang w:eastAsia="en-US"/>
              </w:rPr>
              <w:t xml:space="preserve"> </w:t>
            </w:r>
            <w:r w:rsidR="001A7BB8" w:rsidRPr="001A7BB8">
              <w:rPr>
                <w:rFonts w:cs="Arial"/>
                <w:lang w:eastAsia="en-US"/>
              </w:rPr>
              <w:t>Ohne neuen Finanzierungsschlüssel droht die Härtefallregelung zu scheitern, weil viele Kantone bei einer fünfzigprozentigen Leistungsbeteiligung überfordert wären. Notleidende Betriebe dürfen nicht darunter leiden.</w:t>
            </w:r>
          </w:p>
          <w:p w14:paraId="753F4E13" w14:textId="46254896" w:rsidR="00CE16AE" w:rsidRDefault="00CE16AE" w:rsidP="00CE16AE">
            <w:pPr>
              <w:spacing w:before="60" w:after="60"/>
              <w:rPr>
                <w:rFonts w:cs="Arial"/>
                <w:lang w:eastAsia="en-US"/>
              </w:rPr>
            </w:pPr>
          </w:p>
          <w:p w14:paraId="1F5E7165" w14:textId="0FEA51CF" w:rsidR="00CE16AE" w:rsidRPr="00CE16AE" w:rsidRDefault="00CE16AE" w:rsidP="00CE16AE">
            <w:pPr>
              <w:spacing w:before="60" w:after="60"/>
              <w:rPr>
                <w:rFonts w:cs="Arial"/>
                <w:lang w:eastAsia="en-US"/>
              </w:rPr>
            </w:pPr>
            <w:r>
              <w:rPr>
                <w:rFonts w:cs="Arial"/>
                <w:lang w:eastAsia="en-US"/>
              </w:rPr>
              <w:t xml:space="preserve">Änderungswünsche sind in </w:t>
            </w:r>
            <w:r w:rsidRPr="00CE16AE">
              <w:rPr>
                <w:rFonts w:cs="Arial"/>
                <w:color w:val="FF0000"/>
                <w:lang w:eastAsia="en-US"/>
              </w:rPr>
              <w:t>rot</w:t>
            </w:r>
            <w:r>
              <w:rPr>
                <w:rFonts w:cs="Arial"/>
                <w:color w:val="FF0000"/>
                <w:lang w:eastAsia="en-US"/>
              </w:rPr>
              <w:t>er Farbe</w:t>
            </w:r>
            <w:r>
              <w:rPr>
                <w:rFonts w:cs="Arial"/>
                <w:lang w:eastAsia="en-US"/>
              </w:rPr>
              <w:t xml:space="preserve"> gehalten.</w:t>
            </w:r>
          </w:p>
          <w:p w14:paraId="5C874A74" w14:textId="77777777" w:rsidR="00FF5670" w:rsidRDefault="00FF5670" w:rsidP="00514D17">
            <w:pPr>
              <w:spacing w:before="60" w:after="60"/>
              <w:rPr>
                <w:rFonts w:cs="Arial"/>
                <w:lang w:eastAsia="en-US"/>
              </w:rPr>
            </w:pPr>
          </w:p>
          <w:p w14:paraId="3265D9DA" w14:textId="3F2C5E3F" w:rsidR="00FF5670" w:rsidRDefault="00B32E04" w:rsidP="00514D17">
            <w:pPr>
              <w:spacing w:before="60" w:after="60"/>
              <w:rPr>
                <w:rFonts w:cs="Arial"/>
                <w:lang w:eastAsia="en-US"/>
              </w:rPr>
            </w:pPr>
            <w:r>
              <w:rPr>
                <w:rFonts w:cs="Arial"/>
                <w:lang w:eastAsia="en-US"/>
              </w:rPr>
              <w:t>Wir danken Ihnen für die Berücksichtigung unserer Anliegen.</w:t>
            </w:r>
          </w:p>
          <w:p w14:paraId="08635C96" w14:textId="77777777" w:rsidR="00FF5670" w:rsidRDefault="00FF5670" w:rsidP="00514D17">
            <w:pPr>
              <w:spacing w:before="60" w:after="60"/>
              <w:rPr>
                <w:rFonts w:cs="Arial"/>
                <w:b/>
                <w:lang w:eastAsia="en-US"/>
              </w:rPr>
            </w:pPr>
          </w:p>
        </w:tc>
      </w:tr>
    </w:tbl>
    <w:p w14:paraId="445FF339" w14:textId="77777777" w:rsidR="009961A4" w:rsidRPr="0067239E" w:rsidRDefault="009961A4" w:rsidP="006866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6"/>
      </w:tblGrid>
      <w:tr w:rsidR="00686684" w14:paraId="71A70997"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02ACAC" w14:textId="77777777" w:rsidR="00ED145B" w:rsidRPr="00B260F5" w:rsidRDefault="00FF5670" w:rsidP="000D7D19">
            <w:pPr>
              <w:pStyle w:val="berschrift1"/>
              <w:numPr>
                <w:ilvl w:val="0"/>
                <w:numId w:val="41"/>
              </w:numPr>
              <w:spacing w:before="0"/>
              <w:ind w:left="0"/>
              <w:rPr>
                <w:sz w:val="28"/>
                <w:szCs w:val="28"/>
              </w:rPr>
            </w:pPr>
            <w:r w:rsidRPr="00B260F5">
              <w:rPr>
                <w:sz w:val="28"/>
                <w:szCs w:val="28"/>
              </w:rPr>
              <w:lastRenderedPageBreak/>
              <w:t xml:space="preserve">1. Abschnitt: </w:t>
            </w:r>
            <w:r w:rsidR="000D7D19">
              <w:rPr>
                <w:sz w:val="28"/>
                <w:szCs w:val="28"/>
              </w:rPr>
              <w:t>Grundsatz</w:t>
            </w:r>
          </w:p>
        </w:tc>
      </w:tr>
      <w:tr w:rsidR="00686684" w14:paraId="20744E88"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3027CE28" w14:textId="77777777" w:rsidR="00686684" w:rsidRDefault="00686684">
            <w:pPr>
              <w:spacing w:before="60" w:after="60"/>
              <w:rPr>
                <w:rFonts w:cs="Arial"/>
                <w:b/>
                <w:lang w:eastAsia="en-US"/>
              </w:rPr>
            </w:pPr>
            <w:r>
              <w:rPr>
                <w:rFonts w:cs="Arial"/>
                <w:b/>
                <w:lang w:eastAsia="en-US"/>
              </w:rPr>
              <w:t>Thema</w:t>
            </w:r>
          </w:p>
        </w:tc>
        <w:tc>
          <w:tcPr>
            <w:tcW w:w="7876" w:type="dxa"/>
            <w:tcBorders>
              <w:top w:val="single" w:sz="4" w:space="0" w:color="auto"/>
              <w:left w:val="single" w:sz="4" w:space="0" w:color="auto"/>
              <w:bottom w:val="single" w:sz="4" w:space="0" w:color="auto"/>
              <w:right w:val="single" w:sz="4" w:space="0" w:color="auto"/>
            </w:tcBorders>
            <w:hideMark/>
          </w:tcPr>
          <w:p w14:paraId="021CA861" w14:textId="77777777" w:rsidR="00686684" w:rsidRDefault="00686684">
            <w:pPr>
              <w:spacing w:before="60" w:after="60"/>
              <w:rPr>
                <w:rFonts w:cs="Arial"/>
                <w:b/>
                <w:lang w:eastAsia="en-US"/>
              </w:rPr>
            </w:pPr>
            <w:r>
              <w:rPr>
                <w:rFonts w:cs="Arial"/>
                <w:b/>
                <w:lang w:eastAsia="en-US"/>
              </w:rPr>
              <w:t>Bemerkung/Anregung</w:t>
            </w:r>
          </w:p>
        </w:tc>
      </w:tr>
      <w:tr w:rsidR="00686684" w14:paraId="38760E09"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28F58137" w14:textId="77777777" w:rsidR="00686684" w:rsidRDefault="00686684">
            <w:pPr>
              <w:spacing w:before="120" w:after="120"/>
              <w:rPr>
                <w:rFonts w:cs="Arial"/>
                <w:lang w:eastAsia="en-US"/>
              </w:rPr>
            </w:pPr>
            <w:r>
              <w:rPr>
                <w:rFonts w:cs="Arial"/>
                <w:lang w:eastAsia="en-US"/>
              </w:rPr>
              <w:fldChar w:fldCharType="begin"/>
            </w:r>
            <w:r>
              <w:rPr>
                <w:rFonts w:cs="Arial"/>
                <w:lang w:eastAsia="en-US"/>
              </w:rPr>
              <w:instrText xml:space="preserve"> REF Abk \h  \* MERGEFORMAT </w:instrText>
            </w:r>
            <w:r>
              <w:rPr>
                <w:rFonts w:cs="Arial"/>
                <w:lang w:eastAsia="en-US"/>
              </w:rPr>
            </w:r>
            <w:r>
              <w:rPr>
                <w:rFonts w:cs="Arial"/>
                <w:lang w:eastAsia="en-US"/>
              </w:rPr>
              <w:fldChar w:fldCharType="separate"/>
            </w:r>
            <w:r>
              <w:rPr>
                <w:rFonts w:cs="Arial"/>
                <w:noProof/>
                <w:sz w:val="24"/>
                <w:szCs w:val="24"/>
                <w:lang w:eastAsia="en-US"/>
              </w:rPr>
              <w:t xml:space="preserve">     </w:t>
            </w:r>
            <w:r>
              <w:rPr>
                <w:rFonts w:cs="Arial"/>
                <w:lang w:eastAsia="en-US"/>
              </w:rPr>
              <w:fldChar w:fldCharType="end"/>
            </w:r>
          </w:p>
        </w:tc>
        <w:tc>
          <w:tcPr>
            <w:tcW w:w="7876" w:type="dxa"/>
            <w:tcBorders>
              <w:top w:val="single" w:sz="4" w:space="0" w:color="auto"/>
              <w:left w:val="single" w:sz="4" w:space="0" w:color="auto"/>
              <w:bottom w:val="single" w:sz="4" w:space="0" w:color="auto"/>
              <w:right w:val="single" w:sz="4" w:space="0" w:color="auto"/>
            </w:tcBorders>
            <w:hideMark/>
          </w:tcPr>
          <w:p w14:paraId="6D6AE23C" w14:textId="5C13C7BE" w:rsidR="00686684" w:rsidRDefault="00B32E04">
            <w:pPr>
              <w:spacing w:before="120" w:after="120"/>
              <w:rPr>
                <w:rFonts w:cs="Arial"/>
                <w:lang w:eastAsia="en-US"/>
              </w:rPr>
            </w:pPr>
            <w:r>
              <w:rPr>
                <w:rFonts w:cs="Arial"/>
                <w:lang w:eastAsia="en-US"/>
              </w:rPr>
              <w:t>Keine Bemerkungen</w:t>
            </w:r>
          </w:p>
        </w:tc>
      </w:tr>
    </w:tbl>
    <w:p w14:paraId="67591F25" w14:textId="77777777" w:rsidR="00E770A7" w:rsidRPr="00E770A7" w:rsidRDefault="00E770A7" w:rsidP="00D25178">
      <w:pPr>
        <w:spacing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6"/>
      </w:tblGrid>
      <w:tr w:rsidR="00595D4E" w:rsidRPr="00E770A7" w14:paraId="3DF6DFF3"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0CAA87" w14:textId="77777777" w:rsidR="00595D4E" w:rsidRPr="00E770A7" w:rsidRDefault="00595D4E" w:rsidP="00CC2262">
            <w:pPr>
              <w:pStyle w:val="berschrift1"/>
              <w:numPr>
                <w:ilvl w:val="0"/>
                <w:numId w:val="41"/>
              </w:numPr>
              <w:spacing w:before="0"/>
              <w:ind w:left="0"/>
              <w:rPr>
                <w:sz w:val="28"/>
                <w:szCs w:val="28"/>
              </w:rPr>
            </w:pPr>
            <w:r w:rsidRPr="00E770A7">
              <w:rPr>
                <w:sz w:val="28"/>
                <w:szCs w:val="28"/>
              </w:rPr>
              <w:t xml:space="preserve">2. Abschnitt: </w:t>
            </w:r>
            <w:r w:rsidR="00CC2262">
              <w:rPr>
                <w:sz w:val="28"/>
                <w:szCs w:val="28"/>
              </w:rPr>
              <w:t>Anforderungen an die</w:t>
            </w:r>
            <w:r w:rsidRPr="00E770A7">
              <w:rPr>
                <w:sz w:val="28"/>
                <w:szCs w:val="28"/>
              </w:rPr>
              <w:t xml:space="preserve"> Unternehmen </w:t>
            </w:r>
          </w:p>
        </w:tc>
      </w:tr>
      <w:tr w:rsidR="00595D4E" w14:paraId="2737E68D"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42FA3E20" w14:textId="77777777" w:rsidR="00595D4E" w:rsidRDefault="00595D4E" w:rsidP="0021620B">
            <w:pPr>
              <w:spacing w:before="60" w:after="60"/>
              <w:rPr>
                <w:rFonts w:cs="Arial"/>
                <w:b/>
                <w:lang w:eastAsia="en-US"/>
              </w:rPr>
            </w:pPr>
            <w:r>
              <w:rPr>
                <w:rFonts w:cs="Arial"/>
                <w:b/>
                <w:lang w:eastAsia="en-US"/>
              </w:rPr>
              <w:t>Thema</w:t>
            </w:r>
          </w:p>
        </w:tc>
        <w:tc>
          <w:tcPr>
            <w:tcW w:w="7876" w:type="dxa"/>
            <w:tcBorders>
              <w:top w:val="single" w:sz="4" w:space="0" w:color="auto"/>
              <w:left w:val="single" w:sz="4" w:space="0" w:color="auto"/>
              <w:bottom w:val="single" w:sz="4" w:space="0" w:color="auto"/>
              <w:right w:val="single" w:sz="4" w:space="0" w:color="auto"/>
            </w:tcBorders>
            <w:hideMark/>
          </w:tcPr>
          <w:p w14:paraId="152E2B18" w14:textId="77777777" w:rsidR="00595D4E" w:rsidRDefault="00595D4E" w:rsidP="0021620B">
            <w:pPr>
              <w:spacing w:before="60" w:after="60"/>
              <w:rPr>
                <w:rFonts w:cs="Arial"/>
                <w:b/>
                <w:lang w:eastAsia="en-US"/>
              </w:rPr>
            </w:pPr>
            <w:r>
              <w:rPr>
                <w:rFonts w:cs="Arial"/>
                <w:b/>
                <w:lang w:eastAsia="en-US"/>
              </w:rPr>
              <w:t>Bemerkung/Anregung</w:t>
            </w:r>
          </w:p>
        </w:tc>
      </w:tr>
      <w:tr w:rsidR="00682446" w14:paraId="2FBE7702"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3EA3F4B2" w14:textId="77777777" w:rsidR="00682446" w:rsidRDefault="00682446" w:rsidP="00682446">
            <w:pPr>
              <w:spacing w:before="120" w:after="120"/>
              <w:rPr>
                <w:rFonts w:cs="Arial"/>
                <w:lang w:eastAsia="en-US"/>
              </w:rPr>
            </w:pPr>
            <w:bookmarkStart w:id="0" w:name="_Hlk55977610"/>
            <w:r>
              <w:rPr>
                <w:rFonts w:cs="Arial"/>
                <w:lang w:eastAsia="en-US"/>
              </w:rPr>
              <w:t>Art. 4 Abs. 1 Bst. c</w:t>
            </w:r>
          </w:p>
          <w:p w14:paraId="269476DB" w14:textId="32EF147A" w:rsidR="00682446" w:rsidRDefault="00682446" w:rsidP="00682446">
            <w:pPr>
              <w:spacing w:before="120" w:after="120"/>
              <w:rPr>
                <w:rFonts w:cs="Arial"/>
                <w:lang w:eastAsia="en-US"/>
              </w:rPr>
            </w:pPr>
            <w:r w:rsidRPr="00DA3043">
              <w:rPr>
                <w:rFonts w:cs="Arial"/>
                <w:b/>
                <w:u w:val="single"/>
                <w:lang w:eastAsia="en-US"/>
              </w:rPr>
              <w:t>Präzisierung</w:t>
            </w:r>
          </w:p>
        </w:tc>
        <w:tc>
          <w:tcPr>
            <w:tcW w:w="7876" w:type="dxa"/>
            <w:tcBorders>
              <w:top w:val="single" w:sz="4" w:space="0" w:color="auto"/>
              <w:left w:val="single" w:sz="4" w:space="0" w:color="auto"/>
              <w:bottom w:val="single" w:sz="4" w:space="0" w:color="auto"/>
              <w:right w:val="single" w:sz="4" w:space="0" w:color="auto"/>
            </w:tcBorders>
            <w:hideMark/>
          </w:tcPr>
          <w:p w14:paraId="28A07BEA" w14:textId="038EDED1" w:rsidR="00682446" w:rsidRDefault="00682446" w:rsidP="00682446">
            <w:pPr>
              <w:spacing w:before="120" w:after="120"/>
              <w:rPr>
                <w:rFonts w:cs="Arial"/>
                <w:lang w:eastAsia="en-US"/>
              </w:rPr>
            </w:pPr>
            <w:r>
              <w:rPr>
                <w:lang w:eastAsia="en-US"/>
              </w:rPr>
              <w:t>Diese Bestimmung legt fest, welche spezifischen Hilfen unter das Doppelsubventionierungsverbot fallen. Gemäss erläuterndem Bericht sind CEE, KAE, Co</w:t>
            </w:r>
            <w:r w:rsidR="00076036">
              <w:rPr>
                <w:lang w:eastAsia="en-US"/>
              </w:rPr>
              <w:t>v</w:t>
            </w:r>
            <w:r>
              <w:rPr>
                <w:lang w:eastAsia="en-US"/>
              </w:rPr>
              <w:t xml:space="preserve">id-19-Solidarbürgschaftskredite und solche für Startups davon ausgenommen. Zu präzisieren ist, dass auch Unterstützungen der Schweizerischen Gesellschaft für Hotelkredit (SGH) </w:t>
            </w:r>
            <w:r w:rsidRPr="00DA3043">
              <w:rPr>
                <w:u w:val="single"/>
                <w:lang w:eastAsia="en-US"/>
              </w:rPr>
              <w:t>nicht</w:t>
            </w:r>
            <w:r>
              <w:rPr>
                <w:lang w:eastAsia="en-US"/>
              </w:rPr>
              <w:t xml:space="preserve"> unter das Doppelsubventionierungsverbot fallen.</w:t>
            </w:r>
          </w:p>
        </w:tc>
      </w:tr>
      <w:tr w:rsidR="00682446" w14:paraId="2955168E"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1771913B" w14:textId="77777777" w:rsidR="00682446" w:rsidRDefault="00682446" w:rsidP="00682446">
            <w:pPr>
              <w:spacing w:before="120" w:after="120"/>
              <w:rPr>
                <w:rFonts w:cs="Arial"/>
                <w:lang w:eastAsia="en-US"/>
              </w:rPr>
            </w:pPr>
            <w:r w:rsidRPr="008E341C">
              <w:rPr>
                <w:rFonts w:cs="Arial"/>
                <w:lang w:eastAsia="en-US"/>
              </w:rPr>
              <w:t>Art. 4 Abs. 2 Bst. a</w:t>
            </w:r>
          </w:p>
          <w:p w14:paraId="38E847A4" w14:textId="7ADD349C" w:rsidR="00682446" w:rsidRDefault="00682446" w:rsidP="00682446">
            <w:pPr>
              <w:spacing w:before="120" w:after="120"/>
              <w:rPr>
                <w:rFonts w:cs="Arial"/>
                <w:lang w:eastAsia="en-US"/>
              </w:rPr>
            </w:pPr>
            <w:r w:rsidRPr="00990FC9">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hideMark/>
          </w:tcPr>
          <w:p w14:paraId="6F8944C6" w14:textId="210B0786" w:rsidR="00682446" w:rsidRDefault="00682446" w:rsidP="00682446">
            <w:pPr>
              <w:spacing w:before="120" w:after="120"/>
            </w:pPr>
            <w:r>
              <w:t xml:space="preserve">Dieser Artikel sieht vor, dass profitable und überlebensfähige Unternehmen seit dem 1. Januar 2019 und bis und mit Einreichung des Gesuchs nicht überschuldet sein sollen. Damit würde das Geschäftsjahr 2020 vollumfänglich oder zu einem grossen Teil </w:t>
            </w:r>
            <w:r w:rsidR="001246F1" w:rsidRPr="00B131BA">
              <w:t>mitberücksichtigt</w:t>
            </w:r>
            <w:r w:rsidRPr="00B131BA">
              <w:t xml:space="preserve"> werden. </w:t>
            </w:r>
            <w:r>
              <w:t xml:space="preserve">Eine solche Bestimmung ist mit Blick auf Sinn und Zweck der Härtefallregelung – die Abfederung der wirtschaftlichen Folgen der Covid-19-Pandemie – problematisch. Für die meisten Unternehmen, die im Jahr 2020 Umsatzeinbussen von 40 Prozent oder mehr erlitten, kommt es der Quadratur des Kreises gleich, sich Ende 2020 nicht in einer Überschuldungssituation zu befinden. Der Bund würde mit der vorliegenden Bestimmung einen Grossteil der am stärksten von der Krise betroffenen Betriebe im Rahmen einer Härtefalllösung nicht unterstützen. Damit würde gerade den Betrieben, die auf eine solche Unterstützung dringend angewiesen sind, der Zugang erschwert. </w:t>
            </w:r>
          </w:p>
          <w:p w14:paraId="002051FA" w14:textId="77777777" w:rsidR="00682446" w:rsidRDefault="00682446" w:rsidP="00682446">
            <w:pPr>
              <w:spacing w:before="120" w:after="120"/>
            </w:pPr>
            <w:r>
              <w:t xml:space="preserve">Die Überschuldung im Jahr 2020 hängt nicht davon ab, wie profitabel oder überlebensfähig ein Unternehmen ist, sondern wie stark die Covid-19-Massnahmen dessen Geschäftstätigkeit eingeschränkt hat.  </w:t>
            </w:r>
          </w:p>
          <w:p w14:paraId="72F5829D" w14:textId="77777777" w:rsidR="00682446" w:rsidRDefault="00682446" w:rsidP="00682446">
            <w:pPr>
              <w:spacing w:before="120" w:after="120"/>
            </w:pPr>
            <w:r>
              <w:t xml:space="preserve">Weiter hatten die meisten Unternehmen gar nicht die Möglichkeit – unabhängig davon, wie rentabel sie zu üblichen Geschäftsjahren wirtschaften – ihre Verluste aus der «ersten Welle» im Frühling 2020 aufzufangen. Spätestens seit dem Herbst 2020 sind wieder weitergehende Massnahmen von Bund und Kantonen in Kraft, die ein profitables Wirtschaften stark einschränken oder verunmöglichen. </w:t>
            </w:r>
          </w:p>
          <w:p w14:paraId="4FA0B3FA" w14:textId="77777777" w:rsidR="00682446" w:rsidRDefault="00682446" w:rsidP="00682446">
            <w:pPr>
              <w:spacing w:before="120" w:after="120"/>
            </w:pPr>
            <w:r>
              <w:t xml:space="preserve">Das Geschäftsjahr 2020 wurde für Härtefälle massgeblich von den finanziellen Auswirkungen der behördlichen Covid-19-Massnahmen geprägt. Daher ist das Jahr 2020 kein Referenzwert dafür, ob ein Unternehmen profitabel und überlebensfähig ist (sofern das Unternehmen vor 2020 gegründet wurde). Daher ist dieser Artikel wie folgt anzupassen: </w:t>
            </w:r>
          </w:p>
          <w:p w14:paraId="42113618" w14:textId="42CF4366" w:rsidR="00682446" w:rsidRDefault="00682446" w:rsidP="00682446">
            <w:pPr>
              <w:spacing w:before="120" w:after="120"/>
              <w:rPr>
                <w:rFonts w:cs="Arial"/>
                <w:lang w:eastAsia="en-US"/>
              </w:rPr>
            </w:pPr>
            <w:r>
              <w:rPr>
                <w:color w:val="FF0000"/>
              </w:rPr>
              <w:t>«</w:t>
            </w:r>
            <w:r w:rsidR="00684567">
              <w:rPr>
                <w:color w:val="FF0000"/>
              </w:rPr>
              <w:t xml:space="preserve"> </w:t>
            </w:r>
            <w:r w:rsidR="00FD5863">
              <w:rPr>
                <w:color w:val="FF0000"/>
              </w:rPr>
              <w:t xml:space="preserve">[…] </w:t>
            </w:r>
            <w:r w:rsidRPr="000A6E14">
              <w:rPr>
                <w:strike/>
                <w:color w:val="FF0000"/>
              </w:rPr>
              <w:t>zum Zeitpunkt der Einreichung des Gesuchs nicht überschuldet sind und</w:t>
            </w:r>
            <w:r w:rsidRPr="000A6E14">
              <w:rPr>
                <w:color w:val="FF0000"/>
              </w:rPr>
              <w:t xml:space="preserve"> zwischen dem 1. Januar 2019 und [</w:t>
            </w:r>
            <w:r w:rsidRPr="000A6E14">
              <w:rPr>
                <w:strike/>
                <w:color w:val="FF0000"/>
              </w:rPr>
              <w:t>der Einreichung des Gesuchs</w:t>
            </w:r>
            <w:r w:rsidRPr="000A6E14">
              <w:rPr>
                <w:color w:val="FF0000"/>
              </w:rPr>
              <w:t>] [</w:t>
            </w:r>
            <w:r w:rsidRPr="000A6E14">
              <w:rPr>
                <w:b/>
                <w:color w:val="FF0000"/>
                <w:u w:val="single"/>
              </w:rPr>
              <w:t>dem 31. Dezember 2019</w:t>
            </w:r>
            <w:r>
              <w:rPr>
                <w:color w:val="FF0000"/>
              </w:rPr>
              <w:t>] nicht überschuldet waren;»</w:t>
            </w:r>
            <w:r w:rsidRPr="000A6E14">
              <w:rPr>
                <w:color w:val="FF0000"/>
              </w:rPr>
              <w:t xml:space="preserve"> [Streichen</w:t>
            </w:r>
            <w:r>
              <w:rPr>
                <w:color w:val="FF0000"/>
              </w:rPr>
              <w:t xml:space="preserve"> und anpassen</w:t>
            </w:r>
            <w:r w:rsidRPr="000A6E14">
              <w:rPr>
                <w:color w:val="FF0000"/>
              </w:rPr>
              <w:t>]</w:t>
            </w:r>
          </w:p>
        </w:tc>
      </w:tr>
      <w:tr w:rsidR="00682446" w14:paraId="7B7C569C" w14:textId="77777777" w:rsidTr="003C4938">
        <w:tc>
          <w:tcPr>
            <w:tcW w:w="1185" w:type="dxa"/>
            <w:tcBorders>
              <w:top w:val="single" w:sz="4" w:space="0" w:color="auto"/>
              <w:left w:val="single" w:sz="4" w:space="0" w:color="auto"/>
              <w:bottom w:val="single" w:sz="4" w:space="0" w:color="auto"/>
              <w:right w:val="single" w:sz="4" w:space="0" w:color="auto"/>
            </w:tcBorders>
          </w:tcPr>
          <w:p w14:paraId="3246BF4D" w14:textId="77777777" w:rsidR="00682446" w:rsidRDefault="00682446" w:rsidP="00682446">
            <w:pPr>
              <w:spacing w:before="120" w:after="120"/>
              <w:rPr>
                <w:rFonts w:cs="Arial"/>
                <w:lang w:eastAsia="en-US"/>
              </w:rPr>
            </w:pPr>
            <w:r w:rsidRPr="00990FC9">
              <w:rPr>
                <w:rFonts w:cs="Arial"/>
                <w:lang w:eastAsia="en-US"/>
              </w:rPr>
              <w:t xml:space="preserve">Art. 4 Abs. 2 Bst. d </w:t>
            </w:r>
          </w:p>
          <w:p w14:paraId="404F0546" w14:textId="5F25CA2F" w:rsidR="00682446" w:rsidRDefault="00682446" w:rsidP="00682446">
            <w:pPr>
              <w:spacing w:before="120" w:after="120"/>
              <w:rPr>
                <w:rFonts w:cs="Arial"/>
                <w:lang w:eastAsia="en-US"/>
              </w:rPr>
            </w:pPr>
            <w:r w:rsidRPr="00990FC9">
              <w:rPr>
                <w:rFonts w:cs="Arial"/>
                <w:b/>
                <w:u w:val="single"/>
                <w:lang w:eastAsia="en-US"/>
              </w:rPr>
              <w:t>Anpassen</w:t>
            </w:r>
            <w:r w:rsidRPr="00990FC9">
              <w:rPr>
                <w:rFonts w:cs="Arial"/>
                <w:b/>
                <w:u w:val="single"/>
                <w:lang w:eastAsia="en-US"/>
              </w:rPr>
              <w:fldChar w:fldCharType="begin"/>
            </w:r>
            <w:r w:rsidRPr="00990FC9">
              <w:rPr>
                <w:rFonts w:cs="Arial"/>
                <w:b/>
                <w:u w:val="single"/>
                <w:lang w:eastAsia="en-US"/>
              </w:rPr>
              <w:instrText xml:space="preserve"> REF Abk \h  \* MERGEFORMAT </w:instrText>
            </w:r>
            <w:r w:rsidRPr="00990FC9">
              <w:rPr>
                <w:rFonts w:cs="Arial"/>
                <w:b/>
                <w:u w:val="single"/>
                <w:lang w:eastAsia="en-US"/>
              </w:rPr>
            </w:r>
            <w:r w:rsidRPr="00990FC9">
              <w:rPr>
                <w:rFonts w:cs="Arial"/>
                <w:b/>
                <w:u w:val="single"/>
                <w:lang w:eastAsia="en-US"/>
              </w:rPr>
              <w:fldChar w:fldCharType="separate"/>
            </w:r>
            <w:r w:rsidRPr="00990FC9">
              <w:rPr>
                <w:rFonts w:cs="Arial"/>
                <w:b/>
                <w:noProof/>
                <w:u w:val="single"/>
                <w:lang w:eastAsia="en-US"/>
              </w:rPr>
              <w:t xml:space="preserve">     </w:t>
            </w:r>
            <w:r w:rsidRPr="00990FC9">
              <w:rPr>
                <w:rFonts w:cs="Arial"/>
                <w:b/>
                <w:u w:val="single"/>
                <w:lang w:eastAsia="en-US"/>
              </w:rPr>
              <w:fldChar w:fldCharType="end"/>
            </w:r>
          </w:p>
        </w:tc>
        <w:tc>
          <w:tcPr>
            <w:tcW w:w="7876" w:type="dxa"/>
            <w:tcBorders>
              <w:top w:val="single" w:sz="4" w:space="0" w:color="auto"/>
              <w:left w:val="single" w:sz="4" w:space="0" w:color="auto"/>
              <w:bottom w:val="single" w:sz="4" w:space="0" w:color="auto"/>
              <w:right w:val="single" w:sz="4" w:space="0" w:color="auto"/>
            </w:tcBorders>
          </w:tcPr>
          <w:p w14:paraId="35D5D344" w14:textId="77777777" w:rsidR="00682446" w:rsidRDefault="00682446" w:rsidP="00682446">
            <w:pPr>
              <w:spacing w:before="120" w:after="120"/>
              <w:rPr>
                <w:rFonts w:cs="Arial"/>
                <w:lang w:eastAsia="en-US"/>
              </w:rPr>
            </w:pPr>
            <w:r>
              <w:rPr>
                <w:rFonts w:cs="Arial"/>
                <w:lang w:eastAsia="en-US"/>
              </w:rPr>
              <w:t xml:space="preserve">Als weitere Bedingung muss ein profitables und überlebensfähiges Unternehmen über eine mittelfristige Finanzplanung verfügen. Gemäss erläuterndem Bericht umfasst dies mindestens das laufende und das darauffolgende Jahr. Angesichts der unsicheren Gesamtlage und Entwicklung der Covid-19-Pandemie sowie wirtschaftlich einschneidenden Massnahmen zu deren Eindämmung ist eine solche Zeitspanne weder angemessen, noch lässt sie eine Finanzplanung zu, die sich auf bis zu zwei Jahre erstrecken soll. </w:t>
            </w:r>
          </w:p>
          <w:p w14:paraId="6716B6C9" w14:textId="72FDE30F" w:rsidR="00682446" w:rsidRDefault="00682446" w:rsidP="00682446">
            <w:pPr>
              <w:spacing w:before="120" w:after="120"/>
              <w:rPr>
                <w:rFonts w:cs="Arial"/>
                <w:lang w:eastAsia="en-US"/>
              </w:rPr>
            </w:pPr>
            <w:r>
              <w:rPr>
                <w:rFonts w:cs="Arial"/>
                <w:lang w:eastAsia="en-US"/>
              </w:rPr>
              <w:lastRenderedPageBreak/>
              <w:t xml:space="preserve">Die Finanzplanung ist nach Dafürhalten vom STV unter der Annahme zu erstellen, dass keine weiteren behördlichen Massnahmen zur Eindämmung der Covid-19-Pandemie angeordnet werden. </w:t>
            </w:r>
          </w:p>
          <w:p w14:paraId="6D6F2A1D" w14:textId="33D430EA" w:rsidR="00682446" w:rsidRPr="0041035C" w:rsidRDefault="00682446" w:rsidP="00682446">
            <w:pPr>
              <w:spacing w:before="120" w:after="120"/>
              <w:rPr>
                <w:rFonts w:cs="Arial"/>
                <w:color w:val="FF0000"/>
                <w:lang w:eastAsia="en-US"/>
              </w:rPr>
            </w:pPr>
            <w:r>
              <w:rPr>
                <w:rFonts w:cs="Arial"/>
                <w:lang w:eastAsia="en-US"/>
              </w:rPr>
              <w:t xml:space="preserve">Weiter soll das Unternehmen für diese Zeitspanne gemäss erläuterndem Bericht aufzeigen, dass seine Finanzierung mit der </w:t>
            </w:r>
            <w:r w:rsidRPr="00F45BE6">
              <w:rPr>
                <w:rFonts w:cs="Arial"/>
                <w:lang w:eastAsia="en-US"/>
              </w:rPr>
              <w:t xml:space="preserve">Härtefallmassnahme </w:t>
            </w:r>
            <w:r w:rsidRPr="001A2E37">
              <w:rPr>
                <w:rFonts w:cs="Arial"/>
                <w:lang w:eastAsia="en-US"/>
              </w:rPr>
              <w:t>ohne weitere staatliche Hilfen</w:t>
            </w:r>
            <w:r w:rsidRPr="00F45BE6">
              <w:rPr>
                <w:rFonts w:cs="Arial"/>
                <w:lang w:eastAsia="en-US"/>
              </w:rPr>
              <w:t xml:space="preserve"> gesichert</w:t>
            </w:r>
            <w:r>
              <w:rPr>
                <w:rFonts w:cs="Arial"/>
                <w:lang w:eastAsia="en-US"/>
              </w:rPr>
              <w:t xml:space="preserve"> werden kann. </w:t>
            </w:r>
            <w:r w:rsidR="00C96A10">
              <w:rPr>
                <w:rFonts w:cs="Arial"/>
                <w:lang w:eastAsia="en-US"/>
              </w:rPr>
              <w:t>Der STV</w:t>
            </w:r>
            <w:r>
              <w:rPr>
                <w:rFonts w:cs="Arial"/>
                <w:lang w:eastAsia="en-US"/>
              </w:rPr>
              <w:t xml:space="preserve"> fordert, dass nebst CEE, KAE, Covid-19-Krediten und Bürgschaftskrediten für Startups auch jene der SGH von solchen staatlichen Hilfen ausgenommen sind. </w:t>
            </w:r>
          </w:p>
          <w:p w14:paraId="5CAF865B" w14:textId="77777777" w:rsidR="00682446" w:rsidRDefault="00682446" w:rsidP="00682446">
            <w:pPr>
              <w:spacing w:before="120" w:after="120"/>
              <w:rPr>
                <w:rFonts w:cs="Arial"/>
                <w:lang w:eastAsia="en-US"/>
              </w:rPr>
            </w:pPr>
            <w:r>
              <w:rPr>
                <w:rFonts w:cs="Arial"/>
                <w:lang w:eastAsia="en-US"/>
              </w:rPr>
              <w:t xml:space="preserve">Die Bestimmung ist wie folgt anzupassen: </w:t>
            </w:r>
          </w:p>
          <w:p w14:paraId="328A3768" w14:textId="245988CE" w:rsidR="00682446" w:rsidRDefault="00682446" w:rsidP="00682446">
            <w:pPr>
              <w:spacing w:before="120" w:after="120"/>
              <w:rPr>
                <w:rFonts w:cs="Arial"/>
                <w:lang w:eastAsia="en-US"/>
              </w:rPr>
            </w:pPr>
            <w:r>
              <w:rPr>
                <w:rFonts w:cs="Arial"/>
                <w:color w:val="FF0000"/>
                <w:lang w:eastAsia="en-US"/>
              </w:rPr>
              <w:t>«</w:t>
            </w:r>
            <w:r w:rsidR="00684567">
              <w:rPr>
                <w:rFonts w:cs="Arial"/>
                <w:color w:val="FF0000"/>
                <w:lang w:eastAsia="en-US"/>
              </w:rPr>
              <w:t xml:space="preserve"> </w:t>
            </w:r>
            <w:r w:rsidR="00FD5863">
              <w:rPr>
                <w:rFonts w:cs="Arial"/>
                <w:color w:val="FF0000"/>
                <w:lang w:eastAsia="en-US"/>
              </w:rPr>
              <w:t xml:space="preserve">[…] </w:t>
            </w:r>
            <w:r w:rsidRPr="000A6E14">
              <w:rPr>
                <w:rFonts w:cs="Arial"/>
                <w:color w:val="FF0000"/>
                <w:lang w:eastAsia="en-US"/>
              </w:rPr>
              <w:t>über eine [</w:t>
            </w:r>
            <w:r w:rsidRPr="000A6E14">
              <w:rPr>
                <w:rFonts w:cs="Arial"/>
                <w:strike/>
                <w:color w:val="FF0000"/>
                <w:lang w:eastAsia="en-US"/>
              </w:rPr>
              <w:t>mittelfristige</w:t>
            </w:r>
            <w:r w:rsidRPr="000A6E14">
              <w:rPr>
                <w:rFonts w:cs="Arial"/>
                <w:color w:val="FF0000"/>
                <w:lang w:eastAsia="en-US"/>
              </w:rPr>
              <w:t>] Finanzplanung verfügen, die glaubhaft aufzeigt, dass die Finanzierung des Unternehmens mit der Härtefallmassnahme</w:t>
            </w:r>
            <w:r w:rsidR="00FD5863">
              <w:rPr>
                <w:rFonts w:cs="Arial"/>
                <w:color w:val="FF0000"/>
                <w:lang w:eastAsia="en-US"/>
              </w:rPr>
              <w:t xml:space="preserve"> […]</w:t>
            </w:r>
            <w:r>
              <w:rPr>
                <w:rFonts w:cs="Arial"/>
                <w:color w:val="FF0000"/>
                <w:lang w:eastAsia="en-US"/>
              </w:rPr>
              <w:t>»</w:t>
            </w:r>
            <w:r w:rsidRPr="000A6E14">
              <w:rPr>
                <w:rFonts w:cs="Arial"/>
                <w:color w:val="FF0000"/>
                <w:lang w:eastAsia="en-US"/>
              </w:rPr>
              <w:t xml:space="preserve"> [Streichen]</w:t>
            </w:r>
          </w:p>
        </w:tc>
      </w:tr>
      <w:tr w:rsidR="00681188" w14:paraId="5034BF00" w14:textId="77777777" w:rsidTr="003C4938">
        <w:tc>
          <w:tcPr>
            <w:tcW w:w="1185" w:type="dxa"/>
            <w:tcBorders>
              <w:top w:val="single" w:sz="4" w:space="0" w:color="auto"/>
              <w:left w:val="single" w:sz="4" w:space="0" w:color="auto"/>
              <w:bottom w:val="single" w:sz="4" w:space="0" w:color="auto"/>
              <w:right w:val="single" w:sz="4" w:space="0" w:color="auto"/>
            </w:tcBorders>
          </w:tcPr>
          <w:p w14:paraId="2668B10F" w14:textId="77777777" w:rsidR="00681188" w:rsidRDefault="00681188" w:rsidP="00681188">
            <w:pPr>
              <w:spacing w:before="120" w:after="120"/>
              <w:rPr>
                <w:rFonts w:cs="Arial"/>
                <w:lang w:eastAsia="en-US"/>
              </w:rPr>
            </w:pPr>
            <w:r w:rsidRPr="00990FC9">
              <w:rPr>
                <w:rFonts w:cs="Arial"/>
                <w:lang w:eastAsia="en-US"/>
              </w:rPr>
              <w:lastRenderedPageBreak/>
              <w:t>Art. 4 Abs. 3 Bst. b</w:t>
            </w:r>
          </w:p>
          <w:p w14:paraId="3D24DB69" w14:textId="195D5701" w:rsidR="00681188" w:rsidRPr="00990FC9" w:rsidRDefault="00681188" w:rsidP="00681188">
            <w:pPr>
              <w:spacing w:before="120" w:after="120"/>
              <w:rPr>
                <w:rFonts w:cs="Arial"/>
                <w:lang w:eastAsia="en-US"/>
              </w:rPr>
            </w:pPr>
            <w:r w:rsidRPr="00990FC9">
              <w:rPr>
                <w:rFonts w:cs="Arial"/>
                <w:b/>
                <w:u w:val="single"/>
                <w:lang w:eastAsia="en-US"/>
              </w:rPr>
              <w:t>Streichen</w:t>
            </w:r>
          </w:p>
        </w:tc>
        <w:tc>
          <w:tcPr>
            <w:tcW w:w="7876" w:type="dxa"/>
            <w:tcBorders>
              <w:top w:val="single" w:sz="4" w:space="0" w:color="auto"/>
              <w:left w:val="single" w:sz="4" w:space="0" w:color="auto"/>
              <w:bottom w:val="single" w:sz="4" w:space="0" w:color="auto"/>
              <w:right w:val="single" w:sz="4" w:space="0" w:color="auto"/>
            </w:tcBorders>
          </w:tcPr>
          <w:p w14:paraId="2CDF90F0" w14:textId="4D8C7A56" w:rsidR="00681188" w:rsidRDefault="00681188" w:rsidP="00681188">
            <w:pPr>
              <w:spacing w:before="120" w:after="120"/>
              <w:rPr>
                <w:rFonts w:cs="Arial"/>
                <w:lang w:eastAsia="en-US"/>
              </w:rPr>
            </w:pPr>
            <w:r>
              <w:rPr>
                <w:rFonts w:cs="Arial"/>
                <w:lang w:eastAsia="en-US"/>
              </w:rPr>
              <w:t xml:space="preserve">Diese Bestimmung legt fest, dass ein Covid-19-Kontokorrentkredit vollständig ausgeschöpft sein muss, um zumutbare Selbsthilfemassnahmen ergriffen zu haben. Eine solche Regelung drängt Unternehmen dazu, diese Kredite auszuschöpfen, wenn sie zusätzlich finanzielle Unterstützung in Form der Härtefallregelung beantragen müssen. </w:t>
            </w:r>
            <w:r w:rsidR="0059200A">
              <w:rPr>
                <w:rFonts w:cs="Arial"/>
                <w:lang w:eastAsia="en-US"/>
              </w:rPr>
              <w:t>Es müssen folglich zuerst jene</w:t>
            </w:r>
            <w:r w:rsidR="00076036">
              <w:rPr>
                <w:rFonts w:cs="Arial"/>
                <w:lang w:eastAsia="en-US"/>
              </w:rPr>
              <w:t xml:space="preserve"> Kredite </w:t>
            </w:r>
            <w:r w:rsidR="0059200A">
              <w:rPr>
                <w:rFonts w:cs="Arial"/>
                <w:lang w:eastAsia="en-US"/>
              </w:rPr>
              <w:t>ausgeschöpft werden, welche z</w:t>
            </w:r>
            <w:r w:rsidR="00076036">
              <w:rPr>
                <w:rFonts w:cs="Arial"/>
                <w:lang w:eastAsia="en-US"/>
              </w:rPr>
              <w:t>ur Überschuldungsproblem</w:t>
            </w:r>
            <w:r w:rsidR="0059200A">
              <w:rPr>
                <w:rFonts w:cs="Arial"/>
                <w:lang w:eastAsia="en-US"/>
              </w:rPr>
              <w:t>a</w:t>
            </w:r>
            <w:r w:rsidR="00076036">
              <w:rPr>
                <w:rFonts w:cs="Arial"/>
                <w:lang w:eastAsia="en-US"/>
              </w:rPr>
              <w:t xml:space="preserve">tik </w:t>
            </w:r>
            <w:r w:rsidR="0059200A">
              <w:rPr>
                <w:rFonts w:cs="Arial"/>
                <w:lang w:eastAsia="en-US"/>
              </w:rPr>
              <w:t>der Unternehmen beitragen, zu deren Milderung die Härtefalllösung eigentlich beitragen sollte. Ausserdem</w:t>
            </w:r>
            <w:r>
              <w:rPr>
                <w:rFonts w:cs="Arial"/>
                <w:lang w:eastAsia="en-US"/>
              </w:rPr>
              <w:t xml:space="preserve"> erhöht sich das Konkursrisiko für all jene Unternehmen, deren Gesuch abgelehnt wird</w:t>
            </w:r>
            <w:r w:rsidR="0059200A">
              <w:rPr>
                <w:rFonts w:cs="Arial"/>
                <w:lang w:eastAsia="en-US"/>
              </w:rPr>
              <w:t>.</w:t>
            </w:r>
          </w:p>
          <w:p w14:paraId="4A022AE7" w14:textId="24286411" w:rsidR="0059200A" w:rsidRPr="0059200A" w:rsidRDefault="00681188" w:rsidP="00681188">
            <w:pPr>
              <w:spacing w:before="120" w:after="120"/>
              <w:rPr>
                <w:rFonts w:cs="Arial"/>
                <w:color w:val="FF0000"/>
                <w:lang w:eastAsia="en-US"/>
              </w:rPr>
            </w:pPr>
            <w:r>
              <w:rPr>
                <w:rFonts w:cs="Arial"/>
                <w:lang w:eastAsia="en-US"/>
              </w:rPr>
              <w:t xml:space="preserve">Weiter legt der Bericht fest, dass Covid-19-Solidarbürgschaftskredite nicht unter das Doppelsubventionierungsverbot fallen. Dies steht im Widerspruch dazu, dass solche Kredite erst ausgeschöpft werden müssen, um zumutbare Selbsthilfemassnahmen ergriffen zu haben. </w:t>
            </w:r>
            <w:r w:rsidRPr="006353ED">
              <w:rPr>
                <w:rFonts w:cs="Arial"/>
                <w:lang w:eastAsia="en-US"/>
              </w:rPr>
              <w:t xml:space="preserve">Auch aus dieser Logik heraus ist diese Bestimmung aus der Verordnung zu </w:t>
            </w:r>
            <w:r w:rsidRPr="006353ED">
              <w:rPr>
                <w:rFonts w:cs="Arial"/>
                <w:u w:val="single"/>
                <w:lang w:eastAsia="en-US"/>
              </w:rPr>
              <w:t>streichen</w:t>
            </w:r>
            <w:r w:rsidRPr="006353ED">
              <w:rPr>
                <w:rFonts w:cs="Arial"/>
                <w:lang w:eastAsia="en-US"/>
              </w:rPr>
              <w:t xml:space="preserve">. </w:t>
            </w:r>
          </w:p>
        </w:tc>
      </w:tr>
      <w:tr w:rsidR="00076036" w14:paraId="4F0C8D59" w14:textId="77777777" w:rsidTr="003C4938">
        <w:tc>
          <w:tcPr>
            <w:tcW w:w="1185" w:type="dxa"/>
            <w:tcBorders>
              <w:top w:val="single" w:sz="4" w:space="0" w:color="auto"/>
              <w:left w:val="single" w:sz="4" w:space="0" w:color="auto"/>
              <w:bottom w:val="single" w:sz="4" w:space="0" w:color="auto"/>
              <w:right w:val="single" w:sz="4" w:space="0" w:color="auto"/>
            </w:tcBorders>
          </w:tcPr>
          <w:p w14:paraId="3185ABE4" w14:textId="77777777" w:rsidR="00076036" w:rsidRPr="00990FC9" w:rsidRDefault="00076036" w:rsidP="00076036">
            <w:pPr>
              <w:spacing w:before="120" w:after="120"/>
              <w:rPr>
                <w:rFonts w:cs="Arial"/>
                <w:lang w:eastAsia="en-US"/>
              </w:rPr>
            </w:pPr>
            <w:r>
              <w:rPr>
                <w:rFonts w:cs="Arial"/>
                <w:lang w:eastAsia="en-US"/>
              </w:rPr>
              <w:t>Art. 5 Abs. 1</w:t>
            </w:r>
          </w:p>
          <w:p w14:paraId="7D959C9C" w14:textId="70201188" w:rsidR="00076036" w:rsidRPr="00990FC9" w:rsidRDefault="00076036" w:rsidP="00076036">
            <w:pPr>
              <w:spacing w:before="120" w:after="120"/>
              <w:rPr>
                <w:rFonts w:cs="Arial"/>
                <w:lang w:eastAsia="en-US"/>
              </w:rPr>
            </w:pPr>
            <w:r>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tcPr>
          <w:p w14:paraId="194D8818" w14:textId="77777777" w:rsidR="00076036" w:rsidRDefault="00076036" w:rsidP="00076036">
            <w:pPr>
              <w:spacing w:before="120" w:after="120"/>
              <w:rPr>
                <w:rFonts w:cs="Arial"/>
                <w:lang w:eastAsia="en-US"/>
              </w:rPr>
            </w:pPr>
            <w:r>
              <w:rPr>
                <w:rFonts w:cs="Arial"/>
                <w:lang w:eastAsia="en-US"/>
              </w:rPr>
              <w:t xml:space="preserve">Bei Gesuchseinreichung ist der Jahresumsatz 2020 allenfalls noch nicht bekannt. Deshalb ist Art. 5 Abs. 1 wie folgt zu ergänzen: </w:t>
            </w:r>
          </w:p>
          <w:p w14:paraId="6FA604A1" w14:textId="4A8EE022" w:rsidR="00076036" w:rsidRPr="001246F1" w:rsidRDefault="00076036" w:rsidP="0059200A">
            <w:pPr>
              <w:spacing w:before="120" w:after="120"/>
              <w:rPr>
                <w:rFonts w:cs="Arial"/>
                <w:color w:val="FF0000"/>
                <w:lang w:eastAsia="en-US"/>
              </w:rPr>
            </w:pPr>
            <w:r>
              <w:rPr>
                <w:rFonts w:cs="Arial"/>
                <w:color w:val="FF0000"/>
                <w:lang w:eastAsia="en-US"/>
              </w:rPr>
              <w:t>«</w:t>
            </w:r>
            <w:r w:rsidRPr="00F778CF">
              <w:rPr>
                <w:rFonts w:cs="Arial"/>
                <w:color w:val="FF0000"/>
                <w:lang w:eastAsia="en-US"/>
              </w:rPr>
              <w:t>Die Unternehmen haben gegenüber dem Kanton belegt, dass ihr Jahresumsatz 2020</w:t>
            </w:r>
            <w:r>
              <w:rPr>
                <w:rFonts w:cs="Arial"/>
                <w:color w:val="FF0000"/>
                <w:lang w:eastAsia="en-US"/>
              </w:rPr>
              <w:t xml:space="preserve"> </w:t>
            </w:r>
            <w:r w:rsidRPr="00F778CF">
              <w:rPr>
                <w:rFonts w:cs="Arial"/>
                <w:color w:val="FF0000"/>
                <w:u w:val="single"/>
                <w:lang w:eastAsia="en-US"/>
              </w:rPr>
              <w:t>oder ihr Jahresumsatz bis zur Einreichung des</w:t>
            </w:r>
            <w:r>
              <w:rPr>
                <w:rFonts w:cs="Arial"/>
                <w:color w:val="FF0000"/>
                <w:lang w:eastAsia="en-US"/>
              </w:rPr>
              <w:t xml:space="preserve"> Gesuchs</w:t>
            </w:r>
            <w:r w:rsidRPr="00F778CF">
              <w:rPr>
                <w:rFonts w:cs="Arial"/>
                <w:color w:val="FF0000"/>
                <w:lang w:eastAsia="en-US"/>
              </w:rPr>
              <w:t xml:space="preserve"> in der Folge von behördlich angeordneten Massnahmen zur Bekämpfung der Covid-19-</w:t>
            </w:r>
            <w:r w:rsidR="006353ED">
              <w:rPr>
                <w:rFonts w:cs="Arial"/>
                <w:color w:val="FF0000"/>
                <w:lang w:eastAsia="en-US"/>
              </w:rPr>
              <w:t>Pan</w:t>
            </w:r>
            <w:r w:rsidRPr="00F778CF">
              <w:rPr>
                <w:rFonts w:cs="Arial"/>
                <w:color w:val="FF0000"/>
                <w:lang w:eastAsia="en-US"/>
              </w:rPr>
              <w:t>demie mehr als 40 Prozent unter dem durchschnittlichen Jahresumsatz</w:t>
            </w:r>
            <w:r>
              <w:rPr>
                <w:rFonts w:cs="Arial"/>
                <w:color w:val="FF0000"/>
                <w:lang w:eastAsia="en-US"/>
              </w:rPr>
              <w:t xml:space="preserve"> der Jahre 2018 und 2019 liegt.» [</w:t>
            </w:r>
            <w:r w:rsidRPr="00F778CF">
              <w:rPr>
                <w:rFonts w:cs="Arial"/>
                <w:color w:val="FF0000"/>
                <w:u w:val="single"/>
                <w:lang w:eastAsia="en-US"/>
              </w:rPr>
              <w:t>Ergänzen</w:t>
            </w:r>
            <w:r>
              <w:rPr>
                <w:rFonts w:cs="Arial"/>
                <w:color w:val="FF0000"/>
                <w:lang w:eastAsia="en-US"/>
              </w:rPr>
              <w:t>]</w:t>
            </w:r>
          </w:p>
        </w:tc>
      </w:tr>
      <w:tr w:rsidR="00076036" w14:paraId="45DC4935" w14:textId="77777777" w:rsidTr="003C4938">
        <w:tc>
          <w:tcPr>
            <w:tcW w:w="1185" w:type="dxa"/>
            <w:tcBorders>
              <w:top w:val="single" w:sz="4" w:space="0" w:color="auto"/>
              <w:left w:val="single" w:sz="4" w:space="0" w:color="auto"/>
              <w:bottom w:val="single" w:sz="4" w:space="0" w:color="auto"/>
              <w:right w:val="single" w:sz="4" w:space="0" w:color="auto"/>
            </w:tcBorders>
          </w:tcPr>
          <w:p w14:paraId="27BFA302" w14:textId="77777777" w:rsidR="00076036" w:rsidRPr="00990FC9" w:rsidRDefault="00076036" w:rsidP="00076036">
            <w:pPr>
              <w:spacing w:before="120" w:after="120"/>
              <w:rPr>
                <w:rFonts w:cs="Arial"/>
                <w:lang w:eastAsia="en-US"/>
              </w:rPr>
            </w:pPr>
            <w:r>
              <w:rPr>
                <w:rFonts w:cs="Arial"/>
                <w:lang w:eastAsia="en-US"/>
              </w:rPr>
              <w:t>Art. 5 Abs. 2</w:t>
            </w:r>
          </w:p>
          <w:p w14:paraId="5D3CF155" w14:textId="7DDD4F07" w:rsidR="00076036" w:rsidRPr="00990FC9" w:rsidRDefault="00076036" w:rsidP="00076036">
            <w:pPr>
              <w:spacing w:before="120" w:after="120"/>
              <w:rPr>
                <w:rFonts w:cs="Arial"/>
                <w:lang w:eastAsia="en-US"/>
              </w:rPr>
            </w:pPr>
            <w:r>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tcPr>
          <w:p w14:paraId="2E2DAE70" w14:textId="77777777" w:rsidR="00076036" w:rsidRDefault="00076036" w:rsidP="00076036">
            <w:pPr>
              <w:spacing w:before="120" w:after="120"/>
              <w:rPr>
                <w:rFonts w:cs="Arial"/>
                <w:lang w:eastAsia="en-US"/>
              </w:rPr>
            </w:pPr>
            <w:r>
              <w:rPr>
                <w:rFonts w:cs="Arial"/>
                <w:lang w:eastAsia="en-US"/>
              </w:rPr>
              <w:t xml:space="preserve">Gemäss diesem Artikel sind Entschädigungen für Kurzarbeit und Covid-Erwerbsersatz zum Umsatz 2020 hinzuzuzählen. Aus dem erläuternden Bericht geht hervor, dass dies bei Inkrafttreten des Geschäftsmietegesetzes weiter für verordnete oder freiwillige Mieterlasse der Fall sein würde. </w:t>
            </w:r>
          </w:p>
          <w:p w14:paraId="2989D1EF" w14:textId="77777777" w:rsidR="00076036" w:rsidRPr="00EB64EB" w:rsidRDefault="00076036" w:rsidP="00076036">
            <w:pPr>
              <w:spacing w:before="120" w:after="120"/>
              <w:rPr>
                <w:rFonts w:cs="Arial"/>
                <w:lang w:eastAsia="en-US"/>
              </w:rPr>
            </w:pPr>
            <w:r w:rsidRPr="00EB64EB">
              <w:rPr>
                <w:rFonts w:cs="Arial"/>
                <w:lang w:eastAsia="en-US"/>
              </w:rPr>
              <w:t xml:space="preserve">Eine solche Bestimmung stellt eine sachfremde respektive nicht gerechtfertigte Verknüpfung unterschiedlicher finanzieller Instrumente zur Abfederung der Covid-19-Krise dar. Im buchhalterischen Sinne definiert sich der Umsatz über den Wert von erbrachten Leistungen und abgesetzten Waren; bei der KAE und </w:t>
            </w:r>
            <w:r>
              <w:rPr>
                <w:rFonts w:cs="Arial"/>
                <w:lang w:eastAsia="en-US"/>
              </w:rPr>
              <w:t>CEE</w:t>
            </w:r>
            <w:r w:rsidRPr="00EB64EB">
              <w:rPr>
                <w:rFonts w:cs="Arial"/>
                <w:lang w:eastAsia="en-US"/>
              </w:rPr>
              <w:t xml:space="preserve"> verringern sich die Aufwendungen eines Unternehmens. Schliesslich dienen diese beiden arbeitsmarktlichen Instrumente in erster Linie dazu, Arbeitsplätze zu sichern und Unternehmen vor unverschuldeten Liquiditätsengpässen und Konkursen zu bewahren. Es geht nicht darum, die Gewinne oder die Erfolgsrechnung solcher Unternehmen zu verbessern. Deswegen sind sie oder andere erlassene Aufwendungen nicht zum Umsatz hinzuzuzählen. </w:t>
            </w:r>
          </w:p>
          <w:p w14:paraId="27479019" w14:textId="77777777" w:rsidR="00076036" w:rsidRDefault="00076036" w:rsidP="00076036">
            <w:pPr>
              <w:spacing w:before="120" w:after="120"/>
              <w:rPr>
                <w:rFonts w:cs="Arial"/>
                <w:lang w:eastAsia="en-US"/>
              </w:rPr>
            </w:pPr>
            <w:r>
              <w:rPr>
                <w:rFonts w:cs="Arial"/>
                <w:lang w:eastAsia="en-US"/>
              </w:rPr>
              <w:t xml:space="preserve">Weiter würde der Einbezug von erlassenen Aufwendungen im Umsatz (z. B. KAE) einen administrativen Mehraufwand für die Kantone und Unternehmen verursachen. Dies dürfte weder im Sinne dieser noch des Bundes sein. Letztlich stellt der Bund Massnahmen vor, wie administrative Kosten für die Kantone tief zu halten sind (z. B. Bericht S. 7). </w:t>
            </w:r>
          </w:p>
          <w:p w14:paraId="7F6FD37D" w14:textId="77777777" w:rsidR="00076036" w:rsidRPr="00EB64EB" w:rsidRDefault="00076036" w:rsidP="00076036">
            <w:pPr>
              <w:spacing w:before="120" w:after="120"/>
              <w:rPr>
                <w:rFonts w:cs="Arial"/>
                <w:lang w:eastAsia="en-US"/>
              </w:rPr>
            </w:pPr>
            <w:r>
              <w:rPr>
                <w:rFonts w:cs="Arial"/>
                <w:lang w:eastAsia="en-US"/>
              </w:rPr>
              <w:lastRenderedPageBreak/>
              <w:t xml:space="preserve">Zudem steht die Bestimmung im Widerspruch zu Art. 12 Abs. 2 Covid-19-Gesetz, wonach die KAE, CEE sowie die Covid-19-Kredite explizit nicht als staatliche Finanzhilfen gelten. Weiter sieht bspw. auch die Covid-19-Erwerbsausfallverordnung vor, dass Härtefallmassnahmen nicht subsidiär zur CEE gelten. </w:t>
            </w:r>
          </w:p>
          <w:p w14:paraId="00115C66" w14:textId="77777777" w:rsidR="00076036" w:rsidRDefault="00076036" w:rsidP="00076036">
            <w:pPr>
              <w:spacing w:before="120" w:after="120"/>
              <w:rPr>
                <w:rFonts w:cs="Arial"/>
                <w:lang w:eastAsia="en-US"/>
              </w:rPr>
            </w:pPr>
            <w:r>
              <w:rPr>
                <w:rFonts w:cs="Arial"/>
                <w:lang w:eastAsia="en-US"/>
              </w:rPr>
              <w:t xml:space="preserve">Aus obengenannten Gründen ist der Artikel wie folgt zu kürzen: </w:t>
            </w:r>
          </w:p>
          <w:p w14:paraId="060340DE" w14:textId="05187965" w:rsidR="00076036" w:rsidRPr="001246F1" w:rsidRDefault="00076036" w:rsidP="00076036">
            <w:pPr>
              <w:spacing w:before="120" w:after="120"/>
              <w:rPr>
                <w:rFonts w:cs="Arial"/>
                <w:color w:val="FF0000"/>
                <w:lang w:eastAsia="en-US"/>
              </w:rPr>
            </w:pPr>
            <w:r>
              <w:rPr>
                <w:rFonts w:cs="Arial"/>
                <w:color w:val="FF0000"/>
                <w:lang w:eastAsia="en-US"/>
              </w:rPr>
              <w:t>«</w:t>
            </w:r>
            <w:r w:rsidRPr="000A6E14">
              <w:rPr>
                <w:rFonts w:cs="Arial"/>
                <w:color w:val="FF0000"/>
                <w:lang w:eastAsia="en-US"/>
              </w:rPr>
              <w:t>Der Umsatz 2020 berechnet sich aus dem Wert der verkauften Waren und der erbrachten Dienstleistungen [</w:t>
            </w:r>
            <w:r w:rsidRPr="000A6E14">
              <w:rPr>
                <w:rFonts w:cs="Arial"/>
                <w:strike/>
                <w:color w:val="FF0000"/>
                <w:lang w:eastAsia="en-US"/>
              </w:rPr>
              <w:t>zuzüglich der für die Periode 2020 erhaltenen Entschädigungen für Kurzarbeit und Covid-Erwerbsersatz</w:t>
            </w:r>
            <w:r w:rsidRPr="000A6E14">
              <w:rPr>
                <w:rFonts w:cs="Arial"/>
                <w:color w:val="FF0000"/>
                <w:lang w:eastAsia="en-US"/>
              </w:rPr>
              <w:t>].</w:t>
            </w:r>
            <w:r>
              <w:rPr>
                <w:rFonts w:cs="Arial"/>
                <w:color w:val="FF0000"/>
                <w:lang w:eastAsia="en-US"/>
              </w:rPr>
              <w:t>»</w:t>
            </w:r>
            <w:r w:rsidRPr="000A6E14">
              <w:rPr>
                <w:rFonts w:cs="Arial"/>
                <w:color w:val="FF0000"/>
                <w:lang w:eastAsia="en-US"/>
              </w:rPr>
              <w:t xml:space="preserve"> [Streichen]</w:t>
            </w:r>
          </w:p>
        </w:tc>
      </w:tr>
      <w:tr w:rsidR="00076036" w14:paraId="04470161" w14:textId="77777777" w:rsidTr="003C4938">
        <w:tc>
          <w:tcPr>
            <w:tcW w:w="1185" w:type="dxa"/>
            <w:tcBorders>
              <w:top w:val="single" w:sz="4" w:space="0" w:color="auto"/>
              <w:left w:val="single" w:sz="4" w:space="0" w:color="auto"/>
              <w:bottom w:val="single" w:sz="4" w:space="0" w:color="auto"/>
              <w:right w:val="single" w:sz="4" w:space="0" w:color="auto"/>
            </w:tcBorders>
          </w:tcPr>
          <w:p w14:paraId="7D37DD78" w14:textId="77777777" w:rsidR="00076036" w:rsidRPr="00990FC9" w:rsidRDefault="00076036" w:rsidP="00076036">
            <w:pPr>
              <w:spacing w:before="120" w:after="120"/>
              <w:rPr>
                <w:rFonts w:cs="Arial"/>
                <w:lang w:eastAsia="en-US"/>
              </w:rPr>
            </w:pPr>
            <w:r>
              <w:rPr>
                <w:rFonts w:cs="Arial"/>
                <w:lang w:eastAsia="en-US"/>
              </w:rPr>
              <w:lastRenderedPageBreak/>
              <w:t>Art. 5 Abs. 4 (neu)</w:t>
            </w:r>
          </w:p>
          <w:p w14:paraId="71AAC274" w14:textId="633850B5" w:rsidR="00076036" w:rsidRPr="00990FC9" w:rsidRDefault="00076036" w:rsidP="00076036">
            <w:pPr>
              <w:spacing w:before="120" w:after="120"/>
              <w:rPr>
                <w:rFonts w:cs="Arial"/>
                <w:lang w:eastAsia="en-US"/>
              </w:rPr>
            </w:pPr>
            <w:r>
              <w:rPr>
                <w:rFonts w:cs="Arial"/>
                <w:b/>
                <w:u w:val="single"/>
                <w:lang w:eastAsia="en-US"/>
              </w:rPr>
              <w:t>Ergänzen</w:t>
            </w:r>
          </w:p>
        </w:tc>
        <w:tc>
          <w:tcPr>
            <w:tcW w:w="7876" w:type="dxa"/>
            <w:tcBorders>
              <w:top w:val="single" w:sz="4" w:space="0" w:color="auto"/>
              <w:left w:val="single" w:sz="4" w:space="0" w:color="auto"/>
              <w:bottom w:val="single" w:sz="4" w:space="0" w:color="auto"/>
              <w:right w:val="single" w:sz="4" w:space="0" w:color="auto"/>
            </w:tcBorders>
          </w:tcPr>
          <w:p w14:paraId="5054D07F" w14:textId="0235546C" w:rsidR="0059200A" w:rsidRDefault="00076036" w:rsidP="00076036">
            <w:pPr>
              <w:spacing w:before="120" w:after="120"/>
              <w:rPr>
                <w:rFonts w:cs="Arial"/>
                <w:lang w:eastAsia="en-US"/>
              </w:rPr>
            </w:pPr>
            <w:r>
              <w:rPr>
                <w:rFonts w:cs="Arial"/>
                <w:lang w:eastAsia="en-US"/>
              </w:rPr>
              <w:t>Unternehmen, deren Jahresumsatz zwischen 30 % und 40 % u</w:t>
            </w:r>
            <w:r w:rsidRPr="001D040C">
              <w:rPr>
                <w:rFonts w:cs="Arial"/>
                <w:lang w:eastAsia="en-US"/>
              </w:rPr>
              <w:t>nter dem durchschnittlichen Jahresumsatz der</w:t>
            </w:r>
            <w:r>
              <w:rPr>
                <w:rFonts w:cs="Arial"/>
                <w:lang w:eastAsia="en-US"/>
              </w:rPr>
              <w:t xml:space="preserve"> </w:t>
            </w:r>
            <w:r w:rsidRPr="001D040C">
              <w:rPr>
                <w:rFonts w:cs="Arial"/>
                <w:lang w:eastAsia="en-US"/>
              </w:rPr>
              <w:t>Jahre 2018 und 2019 liegt</w:t>
            </w:r>
            <w:r>
              <w:rPr>
                <w:rFonts w:cs="Arial"/>
                <w:lang w:eastAsia="en-US"/>
              </w:rPr>
              <w:t xml:space="preserve">, sollen ebenfalls Härtefallmassnahmen beantragen können. Tun sie dies, werden sie in reduziertem Mass unterstützt. </w:t>
            </w:r>
            <w:r w:rsidR="0059200A">
              <w:rPr>
                <w:rFonts w:cs="Arial"/>
                <w:lang w:eastAsia="en-US"/>
              </w:rPr>
              <w:t>Der STV</w:t>
            </w:r>
            <w:r>
              <w:rPr>
                <w:rFonts w:cs="Arial"/>
                <w:lang w:eastAsia="en-US"/>
              </w:rPr>
              <w:t xml:space="preserve"> spricht sich für eine Abstufung aus, um eine hohe Schwelle zwischen den nicht anspruchsberechtigten Unternehmen und den Härtefällen zu vermeiden.</w:t>
            </w:r>
          </w:p>
          <w:p w14:paraId="15C2B168" w14:textId="39E9B30F" w:rsidR="00076036" w:rsidRDefault="00076036" w:rsidP="00076036">
            <w:pPr>
              <w:spacing w:before="120" w:after="120"/>
              <w:rPr>
                <w:rFonts w:cs="Arial"/>
                <w:color w:val="FF0000"/>
                <w:lang w:eastAsia="en-US"/>
              </w:rPr>
            </w:pPr>
            <w:r>
              <w:rPr>
                <w:rFonts w:cs="Arial"/>
                <w:color w:val="FF0000"/>
                <w:lang w:eastAsia="en-US"/>
              </w:rPr>
              <w:t>«</w:t>
            </w:r>
            <w:r w:rsidRPr="001D040C">
              <w:rPr>
                <w:rFonts w:cs="Arial"/>
                <w:color w:val="FF0000"/>
                <w:lang w:eastAsia="en-US"/>
              </w:rPr>
              <w:t>Unternehmen, deren Jahresumsatz zwischen 30 % und 40 % unter dem durchschnittlichen Jahresumsatz der Jahre 2018 und 2019 liegt,</w:t>
            </w:r>
            <w:r>
              <w:rPr>
                <w:rFonts w:cs="Arial"/>
                <w:color w:val="FF0000"/>
                <w:lang w:eastAsia="en-US"/>
              </w:rPr>
              <w:t xml:space="preserve"> können ebenfalls als Härtefälle gelten.»</w:t>
            </w:r>
          </w:p>
          <w:p w14:paraId="3EF2D0F4" w14:textId="74B3C95A" w:rsidR="00076036" w:rsidRDefault="0073564B" w:rsidP="00076036">
            <w:pPr>
              <w:spacing w:before="120" w:after="120"/>
              <w:rPr>
                <w:rFonts w:cs="Arial"/>
                <w:lang w:eastAsia="en-US"/>
              </w:rPr>
            </w:pPr>
            <w:bookmarkStart w:id="1" w:name="_Hlk55983285"/>
            <w:r>
              <w:rPr>
                <w:rFonts w:cs="Arial"/>
                <w:lang w:eastAsia="en-US"/>
              </w:rPr>
              <w:t xml:space="preserve">Diese Ergänzung </w:t>
            </w:r>
            <w:r w:rsidR="00A26D09">
              <w:rPr>
                <w:rFonts w:cs="Arial"/>
                <w:lang w:eastAsia="en-US"/>
              </w:rPr>
              <w:t>erfordert</w:t>
            </w:r>
            <w:r>
              <w:rPr>
                <w:rFonts w:cs="Arial"/>
                <w:lang w:eastAsia="en-US"/>
              </w:rPr>
              <w:t xml:space="preserve"> ausserdem </w:t>
            </w:r>
            <w:r w:rsidR="000B71CF" w:rsidRPr="000B71CF">
              <w:rPr>
                <w:rFonts w:cs="Arial"/>
                <w:lang w:eastAsia="en-US"/>
              </w:rPr>
              <w:t>eine Anpassung von Art.12 Abs.1</w:t>
            </w:r>
            <w:r w:rsidR="00A26D09">
              <w:rPr>
                <w:rFonts w:cs="Arial"/>
                <w:lang w:eastAsia="en-US"/>
              </w:rPr>
              <w:t xml:space="preserve"> des</w:t>
            </w:r>
            <w:r w:rsidR="000B71CF" w:rsidRPr="000B71CF">
              <w:rPr>
                <w:rFonts w:cs="Arial"/>
                <w:lang w:eastAsia="en-US"/>
              </w:rPr>
              <w:t xml:space="preserve"> Covid-</w:t>
            </w:r>
            <w:r w:rsidR="00A26D09">
              <w:rPr>
                <w:rFonts w:cs="Arial"/>
                <w:lang w:eastAsia="en-US"/>
              </w:rPr>
              <w:t>19-</w:t>
            </w:r>
            <w:r w:rsidR="000B71CF" w:rsidRPr="000B71CF">
              <w:rPr>
                <w:rFonts w:cs="Arial"/>
                <w:lang w:eastAsia="en-US"/>
              </w:rPr>
              <w:t>Gesetz</w:t>
            </w:r>
            <w:r w:rsidR="00A26D09">
              <w:rPr>
                <w:rFonts w:cs="Arial"/>
                <w:lang w:eastAsia="en-US"/>
              </w:rPr>
              <w:t>es</w:t>
            </w:r>
            <w:r w:rsidR="000B71CF" w:rsidRPr="000B71CF">
              <w:rPr>
                <w:rFonts w:cs="Arial"/>
                <w:lang w:eastAsia="en-US"/>
              </w:rPr>
              <w:t>.</w:t>
            </w:r>
            <w:bookmarkEnd w:id="1"/>
          </w:p>
        </w:tc>
      </w:tr>
      <w:bookmarkEnd w:id="0"/>
    </w:tbl>
    <w:p w14:paraId="6C13A9F6" w14:textId="77777777" w:rsidR="00595D4E" w:rsidRDefault="00595D4E" w:rsidP="00595D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6"/>
      </w:tblGrid>
      <w:tr w:rsidR="00595D4E" w14:paraId="575FC283"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C35FB" w14:textId="77777777" w:rsidR="00595D4E" w:rsidRPr="00E770A7" w:rsidRDefault="00595D4E" w:rsidP="00CC2262">
            <w:pPr>
              <w:pStyle w:val="berschrift1"/>
              <w:spacing w:before="0"/>
              <w:rPr>
                <w:sz w:val="28"/>
                <w:szCs w:val="28"/>
              </w:rPr>
            </w:pPr>
            <w:r w:rsidRPr="00E770A7">
              <w:rPr>
                <w:sz w:val="28"/>
                <w:szCs w:val="28"/>
              </w:rPr>
              <w:t xml:space="preserve">3. Abschnitt: </w:t>
            </w:r>
            <w:r w:rsidR="00CC2262">
              <w:rPr>
                <w:sz w:val="28"/>
                <w:szCs w:val="28"/>
              </w:rPr>
              <w:t>Anforderungen an die</w:t>
            </w:r>
            <w:r w:rsidRPr="00E770A7">
              <w:rPr>
                <w:sz w:val="28"/>
                <w:szCs w:val="28"/>
              </w:rPr>
              <w:t xml:space="preserve"> Ausgestaltung der Härtefallmassnahmen</w:t>
            </w:r>
          </w:p>
        </w:tc>
      </w:tr>
      <w:tr w:rsidR="00595D4E" w14:paraId="157E601C"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0FB5FDC0" w14:textId="77777777" w:rsidR="00595D4E" w:rsidRDefault="00595D4E" w:rsidP="0021620B">
            <w:pPr>
              <w:spacing w:before="60" w:after="60"/>
              <w:rPr>
                <w:rFonts w:cs="Arial"/>
                <w:b/>
                <w:lang w:eastAsia="en-US"/>
              </w:rPr>
            </w:pPr>
            <w:r>
              <w:rPr>
                <w:rFonts w:cs="Arial"/>
                <w:b/>
                <w:lang w:eastAsia="en-US"/>
              </w:rPr>
              <w:t>Thema</w:t>
            </w:r>
          </w:p>
        </w:tc>
        <w:tc>
          <w:tcPr>
            <w:tcW w:w="7876" w:type="dxa"/>
            <w:tcBorders>
              <w:top w:val="single" w:sz="4" w:space="0" w:color="auto"/>
              <w:left w:val="single" w:sz="4" w:space="0" w:color="auto"/>
              <w:bottom w:val="single" w:sz="4" w:space="0" w:color="auto"/>
              <w:right w:val="single" w:sz="4" w:space="0" w:color="auto"/>
            </w:tcBorders>
            <w:hideMark/>
          </w:tcPr>
          <w:p w14:paraId="53D46047" w14:textId="77777777" w:rsidR="00595D4E" w:rsidRDefault="00595D4E" w:rsidP="0021620B">
            <w:pPr>
              <w:spacing w:before="60" w:after="60"/>
              <w:rPr>
                <w:rFonts w:cs="Arial"/>
                <w:b/>
                <w:lang w:eastAsia="en-US"/>
              </w:rPr>
            </w:pPr>
            <w:r>
              <w:rPr>
                <w:rFonts w:cs="Arial"/>
                <w:b/>
                <w:lang w:eastAsia="en-US"/>
              </w:rPr>
              <w:t>Bemerkung/Anregung</w:t>
            </w:r>
          </w:p>
        </w:tc>
      </w:tr>
      <w:bookmarkStart w:id="2" w:name="_Hlk55983541"/>
      <w:tr w:rsidR="000B71CF" w14:paraId="2C27F675"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2840B380" w14:textId="77777777" w:rsidR="000B71CF" w:rsidRPr="00990FC9" w:rsidRDefault="000B71CF" w:rsidP="000B71CF">
            <w:pPr>
              <w:spacing w:before="120" w:after="120"/>
              <w:rPr>
                <w:rFonts w:cs="Arial"/>
                <w:lang w:eastAsia="en-US"/>
              </w:rPr>
            </w:pPr>
            <w:r w:rsidRPr="00990FC9">
              <w:rPr>
                <w:rFonts w:cs="Arial"/>
                <w:lang w:eastAsia="en-US"/>
              </w:rPr>
              <w:fldChar w:fldCharType="begin"/>
            </w:r>
            <w:r>
              <w:rPr>
                <w:rFonts w:cs="Arial"/>
                <w:lang w:eastAsia="en-US"/>
              </w:rPr>
              <w:instrText xml:space="preserve"> REF Abk \h  \* MERGEFORMAT </w:instrText>
            </w:r>
            <w:r w:rsidRPr="00990FC9">
              <w:rPr>
                <w:rFonts w:cs="Arial"/>
                <w:lang w:eastAsia="en-US"/>
              </w:rPr>
            </w:r>
            <w:r w:rsidRPr="00990FC9">
              <w:rPr>
                <w:rFonts w:cs="Arial"/>
                <w:lang w:eastAsia="en-US"/>
              </w:rPr>
              <w:fldChar w:fldCharType="separate"/>
            </w:r>
            <w:r>
              <w:rPr>
                <w:rFonts w:cs="Arial"/>
                <w:lang w:eastAsia="en-US"/>
              </w:rPr>
              <w:t>Art. 7</w:t>
            </w:r>
            <w:r w:rsidRPr="00990FC9">
              <w:rPr>
                <w:rFonts w:cs="Arial"/>
                <w:lang w:eastAsia="en-US"/>
              </w:rPr>
              <w:t xml:space="preserve"> Abs. </w:t>
            </w:r>
            <w:r>
              <w:rPr>
                <w:rFonts w:cs="Arial"/>
                <w:lang w:eastAsia="en-US"/>
              </w:rPr>
              <w:t>3</w:t>
            </w:r>
          </w:p>
          <w:p w14:paraId="2C39BD42" w14:textId="553301DA" w:rsidR="000B71CF" w:rsidRDefault="000B71CF" w:rsidP="000B71CF">
            <w:pPr>
              <w:spacing w:before="120" w:after="120"/>
              <w:rPr>
                <w:rFonts w:cs="Arial"/>
                <w:lang w:eastAsia="en-US"/>
              </w:rPr>
            </w:pPr>
            <w:r>
              <w:rPr>
                <w:rFonts w:cs="Arial"/>
                <w:b/>
                <w:u w:val="single"/>
                <w:lang w:eastAsia="en-US"/>
              </w:rPr>
              <w:t>Streichen</w:t>
            </w:r>
            <w:r w:rsidRPr="00990FC9">
              <w:rPr>
                <w:rFonts w:cs="Arial"/>
                <w:b/>
                <w:noProof/>
                <w:u w:val="single"/>
                <w:lang w:eastAsia="en-US"/>
              </w:rPr>
              <w:t xml:space="preserve"> </w:t>
            </w:r>
            <w:r w:rsidRPr="00990FC9">
              <w:rPr>
                <w:rFonts w:cs="Arial"/>
                <w:b/>
                <w:u w:val="single"/>
                <w:lang w:eastAsia="en-US"/>
              </w:rPr>
              <w:fldChar w:fldCharType="end"/>
            </w:r>
          </w:p>
        </w:tc>
        <w:tc>
          <w:tcPr>
            <w:tcW w:w="7876" w:type="dxa"/>
            <w:tcBorders>
              <w:top w:val="single" w:sz="4" w:space="0" w:color="auto"/>
              <w:left w:val="single" w:sz="4" w:space="0" w:color="auto"/>
              <w:bottom w:val="single" w:sz="4" w:space="0" w:color="auto"/>
              <w:right w:val="single" w:sz="4" w:space="0" w:color="auto"/>
            </w:tcBorders>
            <w:hideMark/>
          </w:tcPr>
          <w:p w14:paraId="08A55EDE" w14:textId="77777777" w:rsidR="000B71CF" w:rsidRPr="006353ED" w:rsidRDefault="000B71CF" w:rsidP="000B71CF">
            <w:pPr>
              <w:spacing w:before="120" w:after="120"/>
              <w:rPr>
                <w:rFonts w:cs="Arial"/>
                <w:lang w:eastAsia="en-US"/>
              </w:rPr>
            </w:pPr>
            <w:r w:rsidRPr="006353ED">
              <w:rPr>
                <w:rFonts w:cs="Arial"/>
                <w:lang w:eastAsia="en-US"/>
              </w:rPr>
              <w:t xml:space="preserve">Zu begrüssen ist, dass die Kantone verschiedene Formen von Härtefallhilfen gewähren können. Mit Blick auf die tiefen respektive unterschiedlichen Höchstgrenzen (Art. 8 Abs. 1 und 2) soll es den Unternehmen möglich sein, mehr als eine finanzielle Hilfe gleichzeitig beanspruchen zu können (z. B. Darlehen und nicht rückzahlbare Beiträge). </w:t>
            </w:r>
          </w:p>
          <w:p w14:paraId="4B351BCD" w14:textId="77777777" w:rsidR="000B71CF" w:rsidRPr="006353ED" w:rsidRDefault="000B71CF" w:rsidP="000B71CF">
            <w:pPr>
              <w:spacing w:before="120" w:after="120"/>
              <w:rPr>
                <w:rFonts w:cs="Arial"/>
                <w:lang w:eastAsia="en-US"/>
              </w:rPr>
            </w:pPr>
            <w:r w:rsidRPr="006353ED">
              <w:rPr>
                <w:rFonts w:cs="Arial"/>
                <w:lang w:eastAsia="en-US"/>
              </w:rPr>
              <w:t xml:space="preserve">Der zusätzliche Koordinations- und Kontrollaufwand dürfte gering sein. Wenn ein Unternehmen bereits von einer Härtefallmassnahme Gebrauch macht und daraufhin eine zweite Unterstützungshilfe in Form eines Härtefalls beantragt, dürfte der Aufwand geringer sein als beim Erstantrag. </w:t>
            </w:r>
          </w:p>
          <w:p w14:paraId="4F78674E" w14:textId="77777777" w:rsidR="000B71CF" w:rsidRPr="006353ED" w:rsidRDefault="000B71CF" w:rsidP="000B71CF">
            <w:pPr>
              <w:spacing w:before="120" w:after="120"/>
              <w:rPr>
                <w:rFonts w:cs="Arial"/>
                <w:lang w:eastAsia="en-US"/>
              </w:rPr>
            </w:pPr>
            <w:r w:rsidRPr="006353ED">
              <w:rPr>
                <w:rFonts w:cs="Arial"/>
                <w:lang w:eastAsia="en-US"/>
              </w:rPr>
              <w:t xml:space="preserve">Daher ist es angezeigt, den </w:t>
            </w:r>
            <w:r w:rsidRPr="006353ED">
              <w:rPr>
                <w:rFonts w:cs="Arial"/>
                <w:u w:val="single"/>
                <w:lang w:eastAsia="en-US"/>
              </w:rPr>
              <w:t>Art. 7 Abs. 3 zu streichen</w:t>
            </w:r>
            <w:r w:rsidRPr="006353ED">
              <w:rPr>
                <w:rFonts w:cs="Arial"/>
                <w:lang w:eastAsia="en-US"/>
              </w:rPr>
              <w:t xml:space="preserve">. </w:t>
            </w:r>
          </w:p>
          <w:p w14:paraId="3E1E5176" w14:textId="37032F10" w:rsidR="000B71CF" w:rsidRPr="006353ED" w:rsidRDefault="000B71CF" w:rsidP="000B71CF">
            <w:pPr>
              <w:spacing w:before="120" w:after="120"/>
              <w:rPr>
                <w:rFonts w:cs="Arial"/>
                <w:lang w:eastAsia="en-US"/>
              </w:rPr>
            </w:pPr>
          </w:p>
        </w:tc>
      </w:tr>
      <w:tr w:rsidR="000B71CF" w14:paraId="0C14922B"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6C56B262" w14:textId="77777777" w:rsidR="000B71CF" w:rsidRDefault="000B71CF" w:rsidP="000B71CF">
            <w:pPr>
              <w:spacing w:before="120"/>
              <w:rPr>
                <w:rFonts w:cs="Arial"/>
                <w:lang w:eastAsia="en-US"/>
              </w:rPr>
            </w:pPr>
            <w:r>
              <w:rPr>
                <w:rFonts w:cs="Arial"/>
                <w:lang w:eastAsia="en-US"/>
              </w:rPr>
              <w:fldChar w:fldCharType="begin"/>
            </w:r>
            <w:r>
              <w:rPr>
                <w:rFonts w:cs="Arial"/>
                <w:lang w:eastAsia="en-US"/>
              </w:rPr>
              <w:instrText xml:space="preserve"> REF Abk \h  \* MERGEFORMAT </w:instrText>
            </w:r>
            <w:r>
              <w:rPr>
                <w:rFonts w:cs="Arial"/>
                <w:lang w:eastAsia="en-US"/>
              </w:rPr>
            </w:r>
            <w:r>
              <w:rPr>
                <w:rFonts w:cs="Arial"/>
                <w:lang w:eastAsia="en-US"/>
              </w:rPr>
              <w:fldChar w:fldCharType="end"/>
            </w:r>
            <w:r>
              <w:rPr>
                <w:rFonts w:cs="Arial"/>
                <w:lang w:eastAsia="en-US"/>
              </w:rPr>
              <w:t xml:space="preserve">Art. 8 </w:t>
            </w:r>
          </w:p>
          <w:p w14:paraId="55063E87" w14:textId="77777777" w:rsidR="000B71CF" w:rsidRDefault="000B71CF" w:rsidP="000B71CF">
            <w:pPr>
              <w:spacing w:after="120"/>
              <w:rPr>
                <w:rFonts w:cs="Arial"/>
                <w:lang w:eastAsia="en-US"/>
              </w:rPr>
            </w:pPr>
            <w:r>
              <w:rPr>
                <w:rFonts w:cs="Arial"/>
                <w:lang w:eastAsia="en-US"/>
              </w:rPr>
              <w:t>Abs. 2</w:t>
            </w:r>
          </w:p>
          <w:p w14:paraId="1426B123" w14:textId="6B99B4A8" w:rsidR="000B71CF" w:rsidRDefault="000B71CF" w:rsidP="000B71CF">
            <w:pPr>
              <w:spacing w:before="120" w:after="120"/>
              <w:rPr>
                <w:rFonts w:cs="Arial"/>
                <w:lang w:eastAsia="en-US"/>
              </w:rPr>
            </w:pPr>
            <w:r w:rsidRPr="00990FC9">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hideMark/>
          </w:tcPr>
          <w:p w14:paraId="60044CDB" w14:textId="590ED094" w:rsidR="000B71CF" w:rsidRDefault="000B71CF" w:rsidP="000B71CF">
            <w:pPr>
              <w:spacing w:before="120" w:after="120"/>
              <w:rPr>
                <w:rFonts w:cs="Arial"/>
                <w:lang w:eastAsia="en-US"/>
              </w:rPr>
            </w:pPr>
            <w:r>
              <w:rPr>
                <w:rFonts w:cs="Arial"/>
                <w:lang w:eastAsia="en-US"/>
              </w:rPr>
              <w:t xml:space="preserve">Nicht rückzahlbare Beiträge werden gemäss Verordnungsentwurf auf 10 Prozent des Jahresumsatzes 2019 (respektive 500‘000 Franken) limitiert. Damit müssten betroffene Unternehmen </w:t>
            </w:r>
            <w:r w:rsidR="00C9241A">
              <w:rPr>
                <w:rFonts w:cs="Arial"/>
                <w:lang w:eastAsia="en-US"/>
              </w:rPr>
              <w:t>einen grossen Teil</w:t>
            </w:r>
            <w:r>
              <w:rPr>
                <w:rFonts w:cs="Arial"/>
                <w:lang w:eastAsia="en-US"/>
              </w:rPr>
              <w:t xml:space="preserve"> ihrer Umsatzeinbussen von 2020 (im Vgl. zu 2019) </w:t>
            </w:r>
            <w:r w:rsidR="006729BF">
              <w:rPr>
                <w:rFonts w:cs="Arial"/>
                <w:lang w:eastAsia="en-US"/>
              </w:rPr>
              <w:t>selbst</w:t>
            </w:r>
            <w:r>
              <w:rPr>
                <w:rFonts w:cs="Arial"/>
                <w:lang w:eastAsia="en-US"/>
              </w:rPr>
              <w:t xml:space="preserve"> tragen. </w:t>
            </w:r>
            <w:r w:rsidR="00C9241A">
              <w:rPr>
                <w:rFonts w:cs="Arial"/>
                <w:lang w:eastAsia="en-US"/>
              </w:rPr>
              <w:t>Sowohl die Kostenstruktur als auch die</w:t>
            </w:r>
            <w:r w:rsidRPr="004E58CE">
              <w:rPr>
                <w:rFonts w:cs="Arial"/>
                <w:lang w:eastAsia="en-US"/>
              </w:rPr>
              <w:t xml:space="preserve"> Umsatzeinbussen </w:t>
            </w:r>
            <w:r w:rsidR="00C9241A">
              <w:rPr>
                <w:rFonts w:cs="Arial"/>
                <w:lang w:eastAsia="en-US"/>
              </w:rPr>
              <w:t>sind über den ganzen Tourismussektor und je nach Betroffenheit der jeweiligen Branche sehr unterschiedlich</w:t>
            </w:r>
            <w:r w:rsidRPr="004E58CE">
              <w:rPr>
                <w:rFonts w:cs="Arial"/>
                <w:lang w:eastAsia="en-US"/>
              </w:rPr>
              <w:t xml:space="preserve">. Dies bestimmt massgeblich, wie hoch der Bedarf an </w:t>
            </w:r>
            <w:r>
              <w:rPr>
                <w:rFonts w:cs="Arial"/>
                <w:lang w:eastAsia="en-US"/>
              </w:rPr>
              <w:t xml:space="preserve">Unterstützungsmassnahmen ist. </w:t>
            </w:r>
            <w:r w:rsidRPr="004E58CE">
              <w:rPr>
                <w:rFonts w:cs="Arial"/>
                <w:lang w:eastAsia="en-US"/>
              </w:rPr>
              <w:t>Zudem hängen der Bedarf und die Höhe einer Härtefallhilfe vom weiteren Verlauf der Covid-19-Pandemie</w:t>
            </w:r>
            <w:r w:rsidR="00C9241A">
              <w:rPr>
                <w:rFonts w:cs="Arial"/>
                <w:lang w:eastAsia="en-US"/>
              </w:rPr>
              <w:t>,</w:t>
            </w:r>
            <w:r w:rsidRPr="004E58CE">
              <w:rPr>
                <w:rFonts w:cs="Arial"/>
                <w:lang w:eastAsia="en-US"/>
              </w:rPr>
              <w:t xml:space="preserve"> respektive </w:t>
            </w:r>
            <w:r w:rsidR="00C9241A">
              <w:rPr>
                <w:rFonts w:cs="Arial"/>
                <w:lang w:eastAsia="en-US"/>
              </w:rPr>
              <w:t xml:space="preserve">von </w:t>
            </w:r>
            <w:r w:rsidRPr="004E58CE">
              <w:rPr>
                <w:rFonts w:cs="Arial"/>
                <w:lang w:eastAsia="en-US"/>
              </w:rPr>
              <w:t xml:space="preserve">einschränkenden Massnahmen zu deren Eindämmung ab. </w:t>
            </w:r>
            <w:r>
              <w:rPr>
                <w:rFonts w:cs="Arial"/>
                <w:lang w:eastAsia="en-US"/>
              </w:rPr>
              <w:t xml:space="preserve">Die genannte Höchstgrenze schränkt die </w:t>
            </w:r>
            <w:r w:rsidR="00C9241A">
              <w:rPr>
                <w:rFonts w:cs="Arial"/>
                <w:lang w:eastAsia="en-US"/>
              </w:rPr>
              <w:t xml:space="preserve">Flexibilität und somit die </w:t>
            </w:r>
            <w:r>
              <w:rPr>
                <w:rFonts w:cs="Arial"/>
                <w:lang w:eastAsia="en-US"/>
              </w:rPr>
              <w:t xml:space="preserve">Wirksamkeit der Härtefallmassnahmen ein. Die absolute Höchstgrenze von CHF 500‘000.- genügt. </w:t>
            </w:r>
          </w:p>
          <w:p w14:paraId="20055783" w14:textId="77777777" w:rsidR="000B71CF" w:rsidRDefault="000B71CF" w:rsidP="000B71CF">
            <w:pPr>
              <w:spacing w:before="120" w:after="120"/>
              <w:rPr>
                <w:rFonts w:cs="Arial"/>
                <w:lang w:eastAsia="en-US"/>
              </w:rPr>
            </w:pPr>
            <w:r w:rsidRPr="004E58CE">
              <w:rPr>
                <w:rFonts w:cs="Arial"/>
                <w:lang w:eastAsia="en-US"/>
              </w:rPr>
              <w:t>Letztlich obliegt es den Kantonen, die Ausgestaltung der Härtefallmassnahmen den unterschiedlichen kantonalen Gegebenheiten anzupassen. Dies bedingt eine flexible und nicht</w:t>
            </w:r>
            <w:r>
              <w:rPr>
                <w:rFonts w:cs="Arial"/>
                <w:lang w:eastAsia="en-US"/>
              </w:rPr>
              <w:t xml:space="preserve"> zu starre Ausgestaltung der Härtefallmassnahmen. </w:t>
            </w:r>
          </w:p>
          <w:p w14:paraId="07FB00EE" w14:textId="77777777" w:rsidR="000B71CF" w:rsidRDefault="000B71CF" w:rsidP="000B71CF">
            <w:pPr>
              <w:spacing w:before="120" w:after="120"/>
              <w:rPr>
                <w:rFonts w:cs="Arial"/>
                <w:lang w:eastAsia="en-US"/>
              </w:rPr>
            </w:pPr>
            <w:r>
              <w:rPr>
                <w:rFonts w:cs="Arial"/>
                <w:lang w:eastAsia="en-US"/>
              </w:rPr>
              <w:t xml:space="preserve">Daher ist der Abschnitt wie folgt zu kürzen: </w:t>
            </w:r>
          </w:p>
          <w:p w14:paraId="435F50C0" w14:textId="77777777" w:rsidR="000B71CF" w:rsidRDefault="000B71CF" w:rsidP="000B71CF">
            <w:pPr>
              <w:spacing w:before="120" w:after="120"/>
              <w:rPr>
                <w:rFonts w:cs="Arial"/>
                <w:color w:val="FF0000"/>
                <w:lang w:eastAsia="en-US"/>
              </w:rPr>
            </w:pPr>
            <w:r>
              <w:rPr>
                <w:rFonts w:cs="Arial"/>
                <w:color w:val="FF0000"/>
                <w:lang w:eastAsia="en-US"/>
              </w:rPr>
              <w:lastRenderedPageBreak/>
              <w:t>«</w:t>
            </w:r>
            <w:r w:rsidRPr="000A6E14">
              <w:rPr>
                <w:rFonts w:cs="Arial"/>
                <w:color w:val="FF0000"/>
                <w:lang w:eastAsia="en-US"/>
              </w:rPr>
              <w:t xml:space="preserve">Die nicht rückzahlbaren Beiträge belaufen sich </w:t>
            </w:r>
            <w:r w:rsidRPr="00CA1C30">
              <w:rPr>
                <w:rFonts w:cs="Arial"/>
                <w:color w:val="FF0000"/>
                <w:lang w:eastAsia="en-US"/>
              </w:rPr>
              <w:t>auf</w:t>
            </w:r>
            <w:r w:rsidRPr="005B27FA">
              <w:rPr>
                <w:rFonts w:cs="Arial"/>
                <w:strike/>
                <w:color w:val="FF0000"/>
                <w:lang w:eastAsia="en-US"/>
              </w:rPr>
              <w:t xml:space="preserve"> höchstens 10 Prozent des Jahresumsatzes 2019 und</w:t>
            </w:r>
            <w:r w:rsidRPr="000A6E14">
              <w:rPr>
                <w:rFonts w:cs="Arial"/>
                <w:color w:val="FF0000"/>
                <w:lang w:eastAsia="en-US"/>
              </w:rPr>
              <w:t xml:space="preserve"> höchstens auf 500 000 Franken pro Unternehmen. </w:t>
            </w:r>
            <w:r w:rsidRPr="001811DD">
              <w:rPr>
                <w:rFonts w:cs="Arial"/>
                <w:b/>
                <w:color w:val="FF0000"/>
                <w:u w:val="single"/>
                <w:lang w:eastAsia="en-US"/>
              </w:rPr>
              <w:t>Im Falle besonderer Härte können die</w:t>
            </w:r>
            <w:r>
              <w:rPr>
                <w:rFonts w:cs="Arial"/>
                <w:b/>
                <w:color w:val="FF0000"/>
                <w:u w:val="single"/>
                <w:lang w:eastAsia="en-US"/>
              </w:rPr>
              <w:t>se</w:t>
            </w:r>
            <w:r w:rsidRPr="001811DD">
              <w:rPr>
                <w:rFonts w:cs="Arial"/>
                <w:b/>
                <w:color w:val="FF0000"/>
                <w:u w:val="single"/>
                <w:lang w:eastAsia="en-US"/>
              </w:rPr>
              <w:t xml:space="preserve"> absoluten Beiträge erhöht werden</w:t>
            </w:r>
            <w:r>
              <w:rPr>
                <w:rFonts w:cs="Arial"/>
                <w:color w:val="FF0000"/>
                <w:lang w:eastAsia="en-US"/>
              </w:rPr>
              <w:t xml:space="preserve">. </w:t>
            </w:r>
            <w:r w:rsidRPr="000A6E14">
              <w:rPr>
                <w:rFonts w:cs="Arial"/>
                <w:color w:val="FF0000"/>
                <w:lang w:eastAsia="en-US"/>
              </w:rPr>
              <w:t>Die Beiträge können gestaffelt beschlossen und ausgerichtet werden.</w:t>
            </w:r>
            <w:r>
              <w:rPr>
                <w:rFonts w:cs="Arial"/>
                <w:color w:val="FF0000"/>
                <w:lang w:eastAsia="en-US"/>
              </w:rPr>
              <w:t>»</w:t>
            </w:r>
            <w:r w:rsidRPr="000A6E14">
              <w:rPr>
                <w:rFonts w:cs="Arial"/>
                <w:color w:val="FF0000"/>
                <w:lang w:eastAsia="en-US"/>
              </w:rPr>
              <w:t xml:space="preserve"> [</w:t>
            </w:r>
            <w:r>
              <w:rPr>
                <w:rFonts w:cs="Arial"/>
                <w:color w:val="FF0000"/>
                <w:lang w:eastAsia="en-US"/>
              </w:rPr>
              <w:t xml:space="preserve">Streichen und </w:t>
            </w:r>
            <w:r w:rsidRPr="005B27FA">
              <w:rPr>
                <w:rFonts w:cs="Arial"/>
                <w:b/>
                <w:color w:val="FF0000"/>
                <w:u w:val="single"/>
                <w:lang w:eastAsia="en-US"/>
              </w:rPr>
              <w:t>Ergänzen</w:t>
            </w:r>
            <w:r w:rsidRPr="000A6E14">
              <w:rPr>
                <w:rFonts w:cs="Arial"/>
                <w:color w:val="FF0000"/>
                <w:lang w:eastAsia="en-US"/>
              </w:rPr>
              <w:t>]</w:t>
            </w:r>
          </w:p>
          <w:p w14:paraId="2B663BE5" w14:textId="02B4754A" w:rsidR="000B71CF" w:rsidRDefault="000B71CF" w:rsidP="0073564B">
            <w:pPr>
              <w:spacing w:before="120" w:after="120"/>
              <w:rPr>
                <w:rFonts w:cs="Arial"/>
                <w:lang w:eastAsia="en-US"/>
              </w:rPr>
            </w:pPr>
          </w:p>
        </w:tc>
      </w:tr>
      <w:tr w:rsidR="000B71CF" w14:paraId="25359878" w14:textId="77777777" w:rsidTr="003C4938">
        <w:tc>
          <w:tcPr>
            <w:tcW w:w="1185" w:type="dxa"/>
            <w:tcBorders>
              <w:top w:val="single" w:sz="4" w:space="0" w:color="auto"/>
              <w:left w:val="single" w:sz="4" w:space="0" w:color="auto"/>
              <w:bottom w:val="single" w:sz="4" w:space="0" w:color="auto"/>
              <w:right w:val="single" w:sz="4" w:space="0" w:color="auto"/>
            </w:tcBorders>
          </w:tcPr>
          <w:p w14:paraId="27677EB2" w14:textId="77777777" w:rsidR="000B71CF" w:rsidRPr="00990FC9" w:rsidRDefault="000B71CF" w:rsidP="000B71CF">
            <w:pPr>
              <w:spacing w:before="120" w:after="120"/>
              <w:rPr>
                <w:rFonts w:cs="Arial"/>
                <w:lang w:eastAsia="en-US"/>
              </w:rPr>
            </w:pPr>
            <w:r>
              <w:rPr>
                <w:rFonts w:cs="Arial"/>
                <w:lang w:eastAsia="en-US"/>
              </w:rPr>
              <w:lastRenderedPageBreak/>
              <w:t>Art. 8 Abs. 4 (neu)</w:t>
            </w:r>
          </w:p>
          <w:p w14:paraId="0C382429" w14:textId="48742CA9" w:rsidR="000B71CF" w:rsidRDefault="000B71CF" w:rsidP="000B71CF">
            <w:pPr>
              <w:spacing w:before="120" w:after="120"/>
              <w:rPr>
                <w:rFonts w:cs="Arial"/>
                <w:lang w:eastAsia="en-US"/>
              </w:rPr>
            </w:pPr>
            <w:r>
              <w:rPr>
                <w:rFonts w:cs="Arial"/>
                <w:b/>
                <w:u w:val="single"/>
                <w:lang w:eastAsia="en-US"/>
              </w:rPr>
              <w:t>Ergänzen</w:t>
            </w:r>
          </w:p>
        </w:tc>
        <w:tc>
          <w:tcPr>
            <w:tcW w:w="7876" w:type="dxa"/>
            <w:tcBorders>
              <w:top w:val="single" w:sz="4" w:space="0" w:color="auto"/>
              <w:left w:val="single" w:sz="4" w:space="0" w:color="auto"/>
              <w:bottom w:val="single" w:sz="4" w:space="0" w:color="auto"/>
              <w:right w:val="single" w:sz="4" w:space="0" w:color="auto"/>
            </w:tcBorders>
          </w:tcPr>
          <w:p w14:paraId="1BF90FA1" w14:textId="15458EA4" w:rsidR="000B71CF" w:rsidRDefault="009971A3" w:rsidP="000B71CF">
            <w:pPr>
              <w:spacing w:before="120" w:after="120"/>
              <w:rPr>
                <w:rFonts w:cs="Arial"/>
                <w:lang w:eastAsia="en-US"/>
              </w:rPr>
            </w:pPr>
            <w:r w:rsidRPr="009971A3">
              <w:rPr>
                <w:rFonts w:cs="Arial"/>
                <w:lang w:eastAsia="en-US"/>
              </w:rPr>
              <w:t xml:space="preserve">Diese Bestimmung ist die logische Folgerung aus Forderung Art 5 Abs. 4. </w:t>
            </w:r>
            <w:r w:rsidR="000B71CF">
              <w:rPr>
                <w:rFonts w:cs="Arial"/>
                <w:lang w:eastAsia="en-US"/>
              </w:rPr>
              <w:t>Ohne die folgende</w:t>
            </w:r>
            <w:r w:rsidR="000B71CF" w:rsidRPr="00AC7AA2">
              <w:rPr>
                <w:rFonts w:cs="Arial"/>
                <w:lang w:eastAsia="en-US"/>
              </w:rPr>
              <w:t xml:space="preserve"> Ergänzung</w:t>
            </w:r>
            <w:r w:rsidR="000B71CF">
              <w:rPr>
                <w:rFonts w:cs="Arial"/>
                <w:lang w:eastAsia="en-US"/>
              </w:rPr>
              <w:t xml:space="preserve"> würde ein Unternehmen mit Umsatzeinbussen von 39.9 % nicht von den Härtefallmassnahmen profitieren, während ein Unternehmen mit Umsatzeinbussen von 40 % in vollem Umfang unterstützt werden kann. </w:t>
            </w:r>
            <w:r w:rsidR="00A26D09">
              <w:rPr>
                <w:rFonts w:cs="Arial"/>
                <w:lang w:eastAsia="en-US"/>
              </w:rPr>
              <w:t>Der STV</w:t>
            </w:r>
            <w:r w:rsidR="000B71CF">
              <w:rPr>
                <w:rFonts w:cs="Arial"/>
                <w:lang w:eastAsia="en-US"/>
              </w:rPr>
              <w:t xml:space="preserve"> spricht sich für eine Abstufung aus. </w:t>
            </w:r>
            <w:r w:rsidR="000B71CF" w:rsidRPr="001D7B35">
              <w:rPr>
                <w:rFonts w:cs="Arial"/>
                <w:lang w:eastAsia="en-US"/>
              </w:rPr>
              <w:t xml:space="preserve">Unternehmen, deren Jahresumsatz zwischen 30 % und 40 </w:t>
            </w:r>
            <w:r w:rsidR="000B71CF">
              <w:rPr>
                <w:rFonts w:cs="Arial"/>
                <w:lang w:eastAsia="en-US"/>
              </w:rPr>
              <w:t>% unter dem durchschnitt</w:t>
            </w:r>
            <w:r w:rsidR="000B71CF" w:rsidRPr="001D7B35">
              <w:rPr>
                <w:rFonts w:cs="Arial"/>
                <w:lang w:eastAsia="en-US"/>
              </w:rPr>
              <w:t>lichen Jahresumsatz der Jahre 2018 und 2019 liegt,</w:t>
            </w:r>
            <w:r w:rsidR="000B71CF">
              <w:rPr>
                <w:rFonts w:cs="Arial"/>
                <w:lang w:eastAsia="en-US"/>
              </w:rPr>
              <w:t xml:space="preserve"> sollen ebenfalls Härtefallmass</w:t>
            </w:r>
            <w:r w:rsidR="000B71CF" w:rsidRPr="001D7B35">
              <w:rPr>
                <w:rFonts w:cs="Arial"/>
                <w:lang w:eastAsia="en-US"/>
              </w:rPr>
              <w:t>nahmen beantragen können.</w:t>
            </w:r>
          </w:p>
          <w:p w14:paraId="2C9CEE10" w14:textId="4DFBD4C1" w:rsidR="000B71CF" w:rsidRDefault="000B71CF" w:rsidP="000B71CF">
            <w:pPr>
              <w:spacing w:before="120" w:after="120"/>
              <w:rPr>
                <w:rFonts w:cs="Arial"/>
                <w:color w:val="FF0000"/>
                <w:lang w:eastAsia="en-US"/>
              </w:rPr>
            </w:pPr>
            <w:r>
              <w:rPr>
                <w:rFonts w:cs="Arial"/>
                <w:color w:val="FF0000"/>
                <w:lang w:eastAsia="en-US"/>
              </w:rPr>
              <w:t xml:space="preserve">«Die Höchstgrenze für </w:t>
            </w:r>
            <w:r w:rsidRPr="001D040C">
              <w:rPr>
                <w:rFonts w:cs="Arial"/>
                <w:color w:val="FF0000"/>
                <w:lang w:eastAsia="en-US"/>
              </w:rPr>
              <w:t>Unternehmen, deren Jahresumsatz 30 % unter dem durchschnittlichen Jahresumsatz der Jahre 2018 und 2019 liegt</w:t>
            </w:r>
            <w:r>
              <w:rPr>
                <w:rFonts w:cs="Arial"/>
                <w:color w:val="FF0000"/>
                <w:lang w:eastAsia="en-US"/>
              </w:rPr>
              <w:t>, betr</w:t>
            </w:r>
            <w:r w:rsidR="006353ED">
              <w:rPr>
                <w:rFonts w:cs="Arial"/>
                <w:color w:val="FF0000"/>
                <w:lang w:eastAsia="en-US"/>
              </w:rPr>
              <w:t>ägt</w:t>
            </w:r>
            <w:r>
              <w:rPr>
                <w:rFonts w:cs="Arial"/>
                <w:color w:val="FF0000"/>
                <w:lang w:eastAsia="en-US"/>
              </w:rPr>
              <w:t xml:space="preserve"> 20 % der ordentlichen Höchstgrenze. Diese Höchstgrenze steigt linear mit dem Umsatzverlust.»</w:t>
            </w:r>
          </w:p>
          <w:p w14:paraId="60CFF6A2" w14:textId="06103C56" w:rsidR="008D5A58" w:rsidRPr="001246F1" w:rsidRDefault="008D5A58" w:rsidP="000B71CF">
            <w:pPr>
              <w:spacing w:before="120" w:after="120"/>
              <w:rPr>
                <w:rFonts w:cs="Arial"/>
                <w:color w:val="FF0000"/>
                <w:lang w:eastAsia="en-US"/>
              </w:rPr>
            </w:pPr>
            <w:r w:rsidRPr="008D5A58">
              <w:rPr>
                <w:rFonts w:cs="Arial"/>
                <w:lang w:eastAsia="en-US"/>
              </w:rPr>
              <w:t>Diese Ergänzung erfordert ausserdem eine Anpassung von Art.12 Abs.1 des Covid-19-Gesetzes.</w:t>
            </w:r>
          </w:p>
        </w:tc>
      </w:tr>
      <w:bookmarkEnd w:id="2"/>
    </w:tbl>
    <w:p w14:paraId="1426F17D" w14:textId="77777777" w:rsidR="00595D4E" w:rsidRDefault="00595D4E" w:rsidP="00595D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7579"/>
      </w:tblGrid>
      <w:tr w:rsidR="00595D4E" w14:paraId="01A1C2D0"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AFD3C" w14:textId="77777777" w:rsidR="00595D4E" w:rsidRPr="00E770A7" w:rsidRDefault="00595D4E" w:rsidP="00CC2262">
            <w:pPr>
              <w:pStyle w:val="berschrift1"/>
              <w:numPr>
                <w:ilvl w:val="0"/>
                <w:numId w:val="41"/>
              </w:numPr>
              <w:spacing w:before="0"/>
              <w:ind w:left="0"/>
              <w:rPr>
                <w:sz w:val="28"/>
                <w:szCs w:val="28"/>
              </w:rPr>
            </w:pPr>
            <w:r w:rsidRPr="00E770A7">
              <w:rPr>
                <w:sz w:val="28"/>
                <w:szCs w:val="28"/>
              </w:rPr>
              <w:t xml:space="preserve">4. Abschnitt: </w:t>
            </w:r>
            <w:r w:rsidR="00CC2262">
              <w:rPr>
                <w:sz w:val="28"/>
                <w:szCs w:val="28"/>
              </w:rPr>
              <w:t>Verfahren und Zuständigkeiten</w:t>
            </w:r>
            <w:r w:rsidRPr="00E770A7">
              <w:rPr>
                <w:sz w:val="28"/>
                <w:szCs w:val="28"/>
              </w:rPr>
              <w:t xml:space="preserve"> </w:t>
            </w:r>
          </w:p>
        </w:tc>
      </w:tr>
      <w:tr w:rsidR="00595D4E" w14:paraId="06D37822" w14:textId="77777777" w:rsidTr="00E770A7">
        <w:tc>
          <w:tcPr>
            <w:tcW w:w="1482" w:type="dxa"/>
            <w:tcBorders>
              <w:top w:val="single" w:sz="4" w:space="0" w:color="auto"/>
              <w:left w:val="single" w:sz="4" w:space="0" w:color="auto"/>
              <w:bottom w:val="single" w:sz="4" w:space="0" w:color="auto"/>
              <w:right w:val="single" w:sz="4" w:space="0" w:color="auto"/>
            </w:tcBorders>
            <w:hideMark/>
          </w:tcPr>
          <w:p w14:paraId="35BB5B23" w14:textId="77777777" w:rsidR="00595D4E" w:rsidRDefault="00595D4E" w:rsidP="0021620B">
            <w:pPr>
              <w:spacing w:before="60" w:after="60"/>
              <w:rPr>
                <w:rFonts w:cs="Arial"/>
                <w:b/>
                <w:lang w:eastAsia="en-US"/>
              </w:rPr>
            </w:pPr>
            <w:r>
              <w:rPr>
                <w:rFonts w:cs="Arial"/>
                <w:b/>
                <w:lang w:eastAsia="en-US"/>
              </w:rPr>
              <w:t>Thema</w:t>
            </w:r>
          </w:p>
        </w:tc>
        <w:tc>
          <w:tcPr>
            <w:tcW w:w="7579" w:type="dxa"/>
            <w:tcBorders>
              <w:top w:val="single" w:sz="4" w:space="0" w:color="auto"/>
              <w:left w:val="single" w:sz="4" w:space="0" w:color="auto"/>
              <w:bottom w:val="single" w:sz="4" w:space="0" w:color="auto"/>
              <w:right w:val="single" w:sz="4" w:space="0" w:color="auto"/>
            </w:tcBorders>
            <w:hideMark/>
          </w:tcPr>
          <w:p w14:paraId="6FA422AF" w14:textId="77777777" w:rsidR="00595D4E" w:rsidRDefault="00595D4E" w:rsidP="0021620B">
            <w:pPr>
              <w:spacing w:before="60" w:after="60"/>
              <w:rPr>
                <w:rFonts w:cs="Arial"/>
                <w:b/>
                <w:lang w:eastAsia="en-US"/>
              </w:rPr>
            </w:pPr>
            <w:r>
              <w:rPr>
                <w:rFonts w:cs="Arial"/>
                <w:b/>
                <w:lang w:eastAsia="en-US"/>
              </w:rPr>
              <w:t>Bemerkung/Anregung</w:t>
            </w:r>
          </w:p>
        </w:tc>
      </w:tr>
      <w:tr w:rsidR="00595D4E" w14:paraId="0054CF9A" w14:textId="77777777" w:rsidTr="00E770A7">
        <w:tc>
          <w:tcPr>
            <w:tcW w:w="1482" w:type="dxa"/>
            <w:tcBorders>
              <w:top w:val="single" w:sz="4" w:space="0" w:color="auto"/>
              <w:left w:val="single" w:sz="4" w:space="0" w:color="auto"/>
              <w:bottom w:val="single" w:sz="4" w:space="0" w:color="auto"/>
              <w:right w:val="single" w:sz="4" w:space="0" w:color="auto"/>
            </w:tcBorders>
            <w:hideMark/>
          </w:tcPr>
          <w:p w14:paraId="79B45AD5" w14:textId="77777777" w:rsidR="00595D4E" w:rsidRDefault="00595D4E" w:rsidP="0021620B">
            <w:pPr>
              <w:spacing w:before="120" w:after="120"/>
              <w:rPr>
                <w:rFonts w:cs="Arial"/>
                <w:lang w:eastAsia="en-US"/>
              </w:rPr>
            </w:pPr>
            <w:r>
              <w:rPr>
                <w:rFonts w:cs="Arial"/>
                <w:lang w:eastAsia="en-US"/>
              </w:rPr>
              <w:fldChar w:fldCharType="begin"/>
            </w:r>
            <w:r>
              <w:rPr>
                <w:rFonts w:cs="Arial"/>
                <w:lang w:eastAsia="en-US"/>
              </w:rPr>
              <w:instrText xml:space="preserve"> REF Abk \h  \* MERGEFORMAT </w:instrText>
            </w:r>
            <w:r>
              <w:rPr>
                <w:rFonts w:cs="Arial"/>
                <w:lang w:eastAsia="en-US"/>
              </w:rPr>
            </w:r>
            <w:r>
              <w:rPr>
                <w:rFonts w:cs="Arial"/>
                <w:lang w:eastAsia="en-US"/>
              </w:rPr>
              <w:fldChar w:fldCharType="separate"/>
            </w:r>
            <w:r>
              <w:rPr>
                <w:rFonts w:cs="Arial"/>
                <w:noProof/>
                <w:sz w:val="24"/>
                <w:szCs w:val="24"/>
                <w:lang w:eastAsia="en-US"/>
              </w:rPr>
              <w:t xml:space="preserve">     </w:t>
            </w:r>
            <w:r>
              <w:rPr>
                <w:rFonts w:cs="Arial"/>
                <w:lang w:eastAsia="en-US"/>
              </w:rPr>
              <w:fldChar w:fldCharType="end"/>
            </w:r>
          </w:p>
        </w:tc>
        <w:tc>
          <w:tcPr>
            <w:tcW w:w="7579" w:type="dxa"/>
            <w:tcBorders>
              <w:top w:val="single" w:sz="4" w:space="0" w:color="auto"/>
              <w:left w:val="single" w:sz="4" w:space="0" w:color="auto"/>
              <w:bottom w:val="single" w:sz="4" w:space="0" w:color="auto"/>
              <w:right w:val="single" w:sz="4" w:space="0" w:color="auto"/>
            </w:tcBorders>
            <w:hideMark/>
          </w:tcPr>
          <w:p w14:paraId="170D9D36" w14:textId="0CD08740" w:rsidR="00595D4E" w:rsidRDefault="009971A3" w:rsidP="0021620B">
            <w:pPr>
              <w:spacing w:before="120" w:after="120"/>
              <w:rPr>
                <w:rFonts w:cs="Arial"/>
                <w:lang w:eastAsia="en-US"/>
              </w:rPr>
            </w:pPr>
            <w:r>
              <w:rPr>
                <w:rFonts w:cs="Arial"/>
                <w:lang w:eastAsia="en-US"/>
              </w:rPr>
              <w:t>Keine Bemerkungen</w:t>
            </w:r>
          </w:p>
        </w:tc>
      </w:tr>
    </w:tbl>
    <w:p w14:paraId="719F998E" w14:textId="77777777" w:rsidR="00595D4E" w:rsidRDefault="00595D4E" w:rsidP="00595D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6"/>
      </w:tblGrid>
      <w:tr w:rsidR="00595D4E" w14:paraId="3A0635D3"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D2BF6B" w14:textId="77777777" w:rsidR="00595D4E" w:rsidRPr="00E770A7" w:rsidRDefault="00595D4E" w:rsidP="00D25178">
            <w:pPr>
              <w:pStyle w:val="berschrift1"/>
              <w:spacing w:before="0"/>
              <w:rPr>
                <w:sz w:val="28"/>
                <w:szCs w:val="28"/>
              </w:rPr>
            </w:pPr>
            <w:r w:rsidRPr="00E770A7">
              <w:rPr>
                <w:sz w:val="28"/>
                <w:szCs w:val="28"/>
              </w:rPr>
              <w:t>5. Abschnitt: Beiträge des Bundes und Berichterstattung der Kantone</w:t>
            </w:r>
          </w:p>
        </w:tc>
      </w:tr>
      <w:tr w:rsidR="00595D4E" w14:paraId="20925D2C"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1B4BC435" w14:textId="77777777" w:rsidR="00595D4E" w:rsidRDefault="00595D4E" w:rsidP="0021620B">
            <w:pPr>
              <w:spacing w:before="60" w:after="60"/>
              <w:rPr>
                <w:rFonts w:cs="Arial"/>
                <w:b/>
                <w:lang w:eastAsia="en-US"/>
              </w:rPr>
            </w:pPr>
            <w:r>
              <w:rPr>
                <w:rFonts w:cs="Arial"/>
                <w:b/>
                <w:lang w:eastAsia="en-US"/>
              </w:rPr>
              <w:t>Thema</w:t>
            </w:r>
          </w:p>
        </w:tc>
        <w:tc>
          <w:tcPr>
            <w:tcW w:w="7876" w:type="dxa"/>
            <w:tcBorders>
              <w:top w:val="single" w:sz="4" w:space="0" w:color="auto"/>
              <w:left w:val="single" w:sz="4" w:space="0" w:color="auto"/>
              <w:bottom w:val="single" w:sz="4" w:space="0" w:color="auto"/>
              <w:right w:val="single" w:sz="4" w:space="0" w:color="auto"/>
            </w:tcBorders>
            <w:hideMark/>
          </w:tcPr>
          <w:p w14:paraId="44B2F5F4" w14:textId="77777777" w:rsidR="00595D4E" w:rsidRDefault="00595D4E" w:rsidP="0021620B">
            <w:pPr>
              <w:spacing w:before="60" w:after="60"/>
              <w:rPr>
                <w:rFonts w:cs="Arial"/>
                <w:b/>
                <w:lang w:eastAsia="en-US"/>
              </w:rPr>
            </w:pPr>
            <w:r>
              <w:rPr>
                <w:rFonts w:cs="Arial"/>
                <w:b/>
                <w:lang w:eastAsia="en-US"/>
              </w:rPr>
              <w:t>Bemerkung/Anregung</w:t>
            </w:r>
          </w:p>
        </w:tc>
      </w:tr>
      <w:bookmarkStart w:id="3" w:name="_Hlk55986246"/>
      <w:tr w:rsidR="009971A3" w14:paraId="41729646"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7C8214CA" w14:textId="77777777" w:rsidR="009971A3" w:rsidRDefault="009971A3" w:rsidP="009971A3">
            <w:pPr>
              <w:spacing w:before="120" w:after="120"/>
              <w:rPr>
                <w:rFonts w:cs="Arial"/>
                <w:lang w:eastAsia="en-US"/>
              </w:rPr>
            </w:pPr>
            <w:r w:rsidRPr="000F5942">
              <w:rPr>
                <w:rFonts w:cs="Arial"/>
                <w:lang w:eastAsia="en-US"/>
              </w:rPr>
              <w:fldChar w:fldCharType="begin"/>
            </w:r>
            <w:r>
              <w:rPr>
                <w:rFonts w:cs="Arial"/>
                <w:lang w:eastAsia="en-US"/>
              </w:rPr>
              <w:instrText xml:space="preserve"> REF Abk \h  \* MERGEFORMAT </w:instrText>
            </w:r>
            <w:r w:rsidRPr="000F5942">
              <w:rPr>
                <w:rFonts w:cs="Arial"/>
                <w:lang w:eastAsia="en-US"/>
              </w:rPr>
            </w:r>
            <w:r w:rsidRPr="000F5942">
              <w:rPr>
                <w:rFonts w:cs="Arial"/>
                <w:lang w:eastAsia="en-US"/>
              </w:rPr>
              <w:fldChar w:fldCharType="separate"/>
            </w:r>
            <w:r w:rsidRPr="000F5942">
              <w:rPr>
                <w:rFonts w:cs="Arial"/>
                <w:noProof/>
                <w:lang w:eastAsia="en-US"/>
              </w:rPr>
              <w:t xml:space="preserve">Art. 14 </w:t>
            </w:r>
            <w:r w:rsidRPr="000F5942">
              <w:rPr>
                <w:rFonts w:cs="Arial"/>
                <w:lang w:eastAsia="en-US"/>
              </w:rPr>
              <w:fldChar w:fldCharType="end"/>
            </w:r>
          </w:p>
          <w:p w14:paraId="2A0D180F" w14:textId="256473B5" w:rsidR="009971A3" w:rsidRDefault="009971A3" w:rsidP="009971A3">
            <w:pPr>
              <w:spacing w:before="120" w:after="120"/>
              <w:rPr>
                <w:rFonts w:cs="Arial"/>
                <w:lang w:eastAsia="en-US"/>
              </w:rPr>
            </w:pPr>
            <w:r w:rsidRPr="002F3369">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hideMark/>
          </w:tcPr>
          <w:p w14:paraId="37F46972" w14:textId="5C60F7F5" w:rsidR="009971A3" w:rsidRDefault="009971A3" w:rsidP="009971A3">
            <w:pPr>
              <w:spacing w:before="120" w:after="120"/>
              <w:rPr>
                <w:rFonts w:cs="Arial"/>
                <w:lang w:eastAsia="en-US"/>
              </w:rPr>
            </w:pPr>
            <w:r>
              <w:rPr>
                <w:rFonts w:cs="Arial"/>
                <w:lang w:eastAsia="en-US"/>
              </w:rPr>
              <w:t xml:space="preserve">Dieser Artikel sieht eine Beteiligung des Bundes von höchstens 200 Millionen Franken an kantonalen Härtefallmassnahmen vor. Angesichts des Ausmasses der Covid-19-Krise auf die Wirtschaft dürfte dieser Betrag bei weitem nicht ausreichen. </w:t>
            </w:r>
            <w:r w:rsidR="00F06CB7">
              <w:rPr>
                <w:rFonts w:cs="Arial"/>
                <w:lang w:eastAsia="en-US"/>
              </w:rPr>
              <w:t xml:space="preserve">Allein die Beherbergungsbranche geht heute von einem Finanzbedarf von mindestens 500 Millionen aus. </w:t>
            </w:r>
            <w:bookmarkStart w:id="4" w:name="_Hlk55987653"/>
            <w:r w:rsidR="00F06CB7">
              <w:rPr>
                <w:rFonts w:cs="Arial"/>
                <w:lang w:eastAsia="en-US"/>
              </w:rPr>
              <w:t>Für viele Branchen ist es sehr schwierig den Bedarf zu benennen, da der Verlauf der Epidemie und die damit einhergehenden Umsatzeinbussen heute nicht abzuschätzen sind. Um ein Maximum an Flexibilität und Handlungsspielraum für Bund und Kantone zu gewährleisten, sollte ein Betrag von 1800 Millionen bereitgestellt werden, auch damit nicht immerzu neue Nachtragskredite beantrag</w:t>
            </w:r>
            <w:r w:rsidR="00171600">
              <w:rPr>
                <w:rFonts w:cs="Arial"/>
                <w:lang w:eastAsia="en-US"/>
              </w:rPr>
              <w:t>t werden müssen</w:t>
            </w:r>
            <w:r w:rsidR="00F06CB7">
              <w:rPr>
                <w:rFonts w:cs="Arial"/>
                <w:lang w:eastAsia="en-US"/>
              </w:rPr>
              <w:t>.</w:t>
            </w:r>
            <w:bookmarkEnd w:id="4"/>
          </w:p>
          <w:p w14:paraId="367E0A37" w14:textId="4B30F586" w:rsidR="009971A3" w:rsidRDefault="009971A3" w:rsidP="009971A3">
            <w:pPr>
              <w:spacing w:before="120" w:after="120"/>
              <w:rPr>
                <w:rFonts w:cs="Arial"/>
                <w:color w:val="FF0000"/>
                <w:lang w:eastAsia="en-US"/>
              </w:rPr>
            </w:pPr>
            <w:r>
              <w:rPr>
                <w:rFonts w:cs="Arial"/>
                <w:color w:val="FF0000"/>
                <w:lang w:eastAsia="en-US"/>
              </w:rPr>
              <w:t>«</w:t>
            </w:r>
            <w:r w:rsidRPr="004359F4">
              <w:rPr>
                <w:rFonts w:cs="Arial"/>
                <w:b/>
                <w:color w:val="FF0000"/>
                <w:u w:val="single"/>
                <w:lang w:eastAsia="en-US"/>
              </w:rPr>
              <w:t xml:space="preserve">Bund und Kantone beteiligen sich im Rahmen der bewilligten Kredite im Umfang von </w:t>
            </w:r>
            <w:r>
              <w:rPr>
                <w:rFonts w:cs="Arial"/>
                <w:b/>
                <w:color w:val="FF0000"/>
                <w:u w:val="single"/>
                <w:lang w:eastAsia="en-US"/>
              </w:rPr>
              <w:t>1‘8</w:t>
            </w:r>
            <w:r w:rsidRPr="004359F4">
              <w:rPr>
                <w:rFonts w:cs="Arial"/>
                <w:b/>
                <w:color w:val="FF0000"/>
                <w:u w:val="single"/>
                <w:lang w:eastAsia="en-US"/>
              </w:rPr>
              <w:t>00 Milli</w:t>
            </w:r>
            <w:r>
              <w:rPr>
                <w:rFonts w:cs="Arial"/>
                <w:b/>
                <w:color w:val="FF0000"/>
                <w:u w:val="single"/>
                <w:lang w:eastAsia="en-US"/>
              </w:rPr>
              <w:t>onen</w:t>
            </w:r>
            <w:r w:rsidRPr="004359F4">
              <w:rPr>
                <w:rFonts w:cs="Arial"/>
                <w:b/>
                <w:color w:val="FF0000"/>
                <w:u w:val="single"/>
                <w:lang w:eastAsia="en-US"/>
              </w:rPr>
              <w:t xml:space="preserve"> Franken</w:t>
            </w:r>
            <w:r>
              <w:rPr>
                <w:rFonts w:cs="Arial"/>
                <w:b/>
                <w:color w:val="FF0000"/>
                <w:u w:val="single"/>
                <w:lang w:eastAsia="en-US"/>
              </w:rPr>
              <w:t xml:space="preserve"> an den Härtefallmassnahmen</w:t>
            </w:r>
            <w:r w:rsidRPr="004359F4">
              <w:rPr>
                <w:rFonts w:cs="Arial"/>
                <w:b/>
                <w:color w:val="FF0000"/>
                <w:u w:val="single"/>
                <w:lang w:eastAsia="en-US"/>
              </w:rPr>
              <w:t xml:space="preserve">. </w:t>
            </w:r>
            <w:r w:rsidRPr="004359F4">
              <w:rPr>
                <w:rFonts w:cs="Arial"/>
                <w:color w:val="FF0000"/>
                <w:lang w:eastAsia="en-US"/>
              </w:rPr>
              <w:t>Der Bund</w:t>
            </w:r>
            <w:r w:rsidRPr="004359F4">
              <w:rPr>
                <w:rFonts w:cs="Arial"/>
                <w:b/>
                <w:color w:val="FF0000"/>
                <w:u w:val="single"/>
                <w:lang w:eastAsia="en-US"/>
              </w:rPr>
              <w:t xml:space="preserve">esanteil beträgt dabei </w:t>
            </w:r>
            <w:r w:rsidR="00A6104A">
              <w:rPr>
                <w:rFonts w:cs="Arial"/>
                <w:b/>
                <w:color w:val="FF0000"/>
                <w:u w:val="single"/>
                <w:lang w:eastAsia="en-US"/>
              </w:rPr>
              <w:t xml:space="preserve">1440 </w:t>
            </w:r>
            <w:r>
              <w:rPr>
                <w:rFonts w:cs="Arial"/>
                <w:b/>
                <w:color w:val="FF0000"/>
                <w:u w:val="single"/>
                <w:lang w:eastAsia="en-US"/>
              </w:rPr>
              <w:t xml:space="preserve">Millionen </w:t>
            </w:r>
            <w:r w:rsidRPr="004359F4">
              <w:rPr>
                <w:rFonts w:cs="Arial"/>
                <w:b/>
                <w:color w:val="FF0000"/>
                <w:u w:val="single"/>
                <w:lang w:eastAsia="en-US"/>
              </w:rPr>
              <w:t>Franken.</w:t>
            </w:r>
            <w:r w:rsidRPr="004359F4">
              <w:rPr>
                <w:rFonts w:cs="Arial"/>
                <w:strike/>
                <w:color w:val="FF0000"/>
                <w:lang w:eastAsia="en-US"/>
              </w:rPr>
              <w:t>beteiligt sich im Rahmen der bewilligten Kredite im Umfang von insgesamt höchstens 200 Millionen Franken an kantonalen Härtefallmassnahmen.</w:t>
            </w:r>
            <w:r>
              <w:rPr>
                <w:rFonts w:cs="Arial"/>
                <w:color w:val="FF0000"/>
                <w:lang w:eastAsia="en-US"/>
              </w:rPr>
              <w:t xml:space="preserve">» [Streichen und </w:t>
            </w:r>
            <w:r>
              <w:rPr>
                <w:rFonts w:cs="Arial"/>
                <w:b/>
                <w:color w:val="FF0000"/>
                <w:u w:val="single"/>
                <w:lang w:eastAsia="en-US"/>
              </w:rPr>
              <w:t>a</w:t>
            </w:r>
            <w:r w:rsidRPr="004359F4">
              <w:rPr>
                <w:rFonts w:cs="Arial"/>
                <w:b/>
                <w:color w:val="FF0000"/>
                <w:u w:val="single"/>
                <w:lang w:eastAsia="en-US"/>
              </w:rPr>
              <w:t>npassen</w:t>
            </w:r>
            <w:r>
              <w:rPr>
                <w:rFonts w:cs="Arial"/>
                <w:color w:val="FF0000"/>
                <w:lang w:eastAsia="en-US"/>
              </w:rPr>
              <w:t>]</w:t>
            </w:r>
          </w:p>
          <w:p w14:paraId="5360BE55" w14:textId="1A02D498" w:rsidR="009971A3" w:rsidRDefault="009971A3" w:rsidP="009971A3">
            <w:pPr>
              <w:spacing w:before="120" w:after="120"/>
              <w:rPr>
                <w:rFonts w:cs="Arial"/>
                <w:lang w:eastAsia="en-US"/>
              </w:rPr>
            </w:pPr>
          </w:p>
        </w:tc>
      </w:tr>
      <w:tr w:rsidR="009971A3" w14:paraId="05A8ABED" w14:textId="77777777" w:rsidTr="003C4938">
        <w:tc>
          <w:tcPr>
            <w:tcW w:w="1185" w:type="dxa"/>
            <w:tcBorders>
              <w:top w:val="single" w:sz="4" w:space="0" w:color="auto"/>
              <w:left w:val="single" w:sz="4" w:space="0" w:color="auto"/>
              <w:bottom w:val="single" w:sz="4" w:space="0" w:color="auto"/>
              <w:right w:val="single" w:sz="4" w:space="0" w:color="auto"/>
            </w:tcBorders>
          </w:tcPr>
          <w:p w14:paraId="3D651065" w14:textId="77777777" w:rsidR="009971A3" w:rsidRDefault="009971A3" w:rsidP="009971A3">
            <w:pPr>
              <w:spacing w:before="120"/>
              <w:rPr>
                <w:rFonts w:cs="Arial"/>
                <w:lang w:eastAsia="en-US"/>
              </w:rPr>
            </w:pPr>
            <w:r w:rsidRPr="000F5942">
              <w:rPr>
                <w:rFonts w:cs="Arial"/>
                <w:lang w:eastAsia="en-US"/>
              </w:rPr>
              <w:fldChar w:fldCharType="begin"/>
            </w:r>
            <w:r>
              <w:rPr>
                <w:rFonts w:cs="Arial"/>
                <w:lang w:eastAsia="en-US"/>
              </w:rPr>
              <w:instrText xml:space="preserve"> REF Abk \h  \* MERGEFORMAT </w:instrText>
            </w:r>
            <w:r w:rsidRPr="000F5942">
              <w:rPr>
                <w:rFonts w:cs="Arial"/>
                <w:lang w:eastAsia="en-US"/>
              </w:rPr>
            </w:r>
            <w:r w:rsidRPr="000F5942">
              <w:rPr>
                <w:rFonts w:cs="Arial"/>
                <w:lang w:eastAsia="en-US"/>
              </w:rPr>
              <w:fldChar w:fldCharType="separate"/>
            </w:r>
            <w:r>
              <w:rPr>
                <w:rFonts w:cs="Arial"/>
                <w:noProof/>
                <w:lang w:eastAsia="en-US"/>
              </w:rPr>
              <w:t>Art. 17</w:t>
            </w:r>
            <w:r w:rsidRPr="000F5942">
              <w:rPr>
                <w:rFonts w:cs="Arial"/>
                <w:noProof/>
                <w:lang w:eastAsia="en-US"/>
              </w:rPr>
              <w:t xml:space="preserve"> </w:t>
            </w:r>
            <w:r w:rsidRPr="000F5942">
              <w:rPr>
                <w:rFonts w:cs="Arial"/>
                <w:lang w:eastAsia="en-US"/>
              </w:rPr>
              <w:fldChar w:fldCharType="end"/>
            </w:r>
          </w:p>
          <w:p w14:paraId="6932C8C8" w14:textId="77777777" w:rsidR="009971A3" w:rsidRDefault="009971A3" w:rsidP="009971A3">
            <w:pPr>
              <w:spacing w:after="120"/>
              <w:rPr>
                <w:rFonts w:cs="Arial"/>
                <w:lang w:eastAsia="en-US"/>
              </w:rPr>
            </w:pPr>
            <w:r>
              <w:rPr>
                <w:rFonts w:cs="Arial"/>
                <w:lang w:eastAsia="en-US"/>
              </w:rPr>
              <w:t xml:space="preserve">Abs. 2 </w:t>
            </w:r>
          </w:p>
          <w:p w14:paraId="4943CE81" w14:textId="5C4D958B" w:rsidR="009971A3" w:rsidRDefault="009971A3" w:rsidP="009971A3">
            <w:pPr>
              <w:spacing w:before="120" w:after="120"/>
              <w:rPr>
                <w:rFonts w:cs="Arial"/>
                <w:lang w:eastAsia="en-US"/>
              </w:rPr>
            </w:pPr>
            <w:r w:rsidRPr="002F3369">
              <w:rPr>
                <w:rFonts w:cs="Arial"/>
                <w:b/>
                <w:u w:val="single"/>
                <w:lang w:eastAsia="en-US"/>
              </w:rPr>
              <w:t>Anpassen</w:t>
            </w:r>
          </w:p>
        </w:tc>
        <w:tc>
          <w:tcPr>
            <w:tcW w:w="7876" w:type="dxa"/>
            <w:tcBorders>
              <w:top w:val="single" w:sz="4" w:space="0" w:color="auto"/>
              <w:left w:val="single" w:sz="4" w:space="0" w:color="auto"/>
              <w:bottom w:val="single" w:sz="4" w:space="0" w:color="auto"/>
              <w:right w:val="single" w:sz="4" w:space="0" w:color="auto"/>
            </w:tcBorders>
          </w:tcPr>
          <w:p w14:paraId="49560FCB" w14:textId="1A5D3849" w:rsidR="009971A3" w:rsidRDefault="009971A3" w:rsidP="005C6F3F">
            <w:pPr>
              <w:spacing w:before="120" w:after="120"/>
              <w:rPr>
                <w:rFonts w:cs="Arial"/>
                <w:lang w:eastAsia="en-US"/>
              </w:rPr>
            </w:pPr>
            <w:r>
              <w:rPr>
                <w:rFonts w:cs="Arial"/>
                <w:lang w:eastAsia="en-US"/>
              </w:rPr>
              <w:t>Gemäss erläuterndem Bericht beteiligt sich der Bund zur Hälfte an den Auszahlungen</w:t>
            </w:r>
            <w:r w:rsidR="002D5C0E">
              <w:rPr>
                <w:rFonts w:cs="Arial"/>
                <w:lang w:eastAsia="en-US"/>
              </w:rPr>
              <w:t xml:space="preserve"> der Härtefallhilfen</w:t>
            </w:r>
            <w:r>
              <w:rPr>
                <w:rFonts w:cs="Arial"/>
                <w:lang w:eastAsia="en-US"/>
              </w:rPr>
              <w:t xml:space="preserve">. </w:t>
            </w:r>
            <w:r w:rsidR="00321E5A">
              <w:rPr>
                <w:rFonts w:cs="Arial"/>
                <w:lang w:eastAsia="en-US"/>
              </w:rPr>
              <w:t xml:space="preserve">Der STV fordert, dass </w:t>
            </w:r>
            <w:r w:rsidR="00321E5A" w:rsidRPr="006353ED">
              <w:rPr>
                <w:rFonts w:cs="Arial"/>
                <w:lang w:eastAsia="en-US"/>
              </w:rPr>
              <w:t xml:space="preserve">ein </w:t>
            </w:r>
            <w:bookmarkStart w:id="5" w:name="_Hlk55989886"/>
            <w:r w:rsidR="00F831AD" w:rsidRPr="006353ED">
              <w:rPr>
                <w:rFonts w:cs="Arial"/>
                <w:lang w:eastAsia="en-US"/>
              </w:rPr>
              <w:t>Beteiligungsverhältnis</w:t>
            </w:r>
            <w:r w:rsidR="00321E5A" w:rsidRPr="006353ED">
              <w:rPr>
                <w:rFonts w:cs="Arial"/>
                <w:lang w:eastAsia="en-US"/>
              </w:rPr>
              <w:t xml:space="preserve"> Bund/Kantone von 80%/20% </w:t>
            </w:r>
            <w:bookmarkEnd w:id="5"/>
            <w:r w:rsidR="00321E5A" w:rsidRPr="006353ED">
              <w:rPr>
                <w:rFonts w:cs="Arial"/>
                <w:lang w:eastAsia="en-US"/>
              </w:rPr>
              <w:t>zur Anwendung kommt.</w:t>
            </w:r>
            <w:r w:rsidR="005C6F3F" w:rsidRPr="006353ED">
              <w:rPr>
                <w:rFonts w:cs="Arial"/>
                <w:lang w:eastAsia="en-US"/>
              </w:rPr>
              <w:t xml:space="preserve"> </w:t>
            </w:r>
            <w:r w:rsidR="00A26D09" w:rsidRPr="006353ED">
              <w:rPr>
                <w:rFonts w:cs="Arial"/>
                <w:lang w:eastAsia="en-US"/>
              </w:rPr>
              <w:t>Diese</w:t>
            </w:r>
            <w:r w:rsidR="005C6F3F" w:rsidRPr="006353ED">
              <w:rPr>
                <w:rFonts w:cs="Arial"/>
                <w:lang w:eastAsia="en-US"/>
              </w:rPr>
              <w:t xml:space="preserve"> Bestimmung </w:t>
            </w:r>
            <w:r w:rsidR="00A26D09" w:rsidRPr="006353ED">
              <w:rPr>
                <w:rFonts w:cs="Arial"/>
                <w:lang w:eastAsia="en-US"/>
              </w:rPr>
              <w:t>erfordert</w:t>
            </w:r>
            <w:r w:rsidR="005C6F3F" w:rsidRPr="006353ED">
              <w:rPr>
                <w:rFonts w:cs="Arial"/>
                <w:lang w:eastAsia="en-US"/>
              </w:rPr>
              <w:t xml:space="preserve"> eine Anpassung von Art. 12 Abs. 1 des Covid-19-Gesetzes.</w:t>
            </w:r>
            <w:r w:rsidR="001C038A" w:rsidRPr="006353ED">
              <w:rPr>
                <w:rFonts w:cs="Arial"/>
                <w:lang w:eastAsia="en-US"/>
              </w:rPr>
              <w:t xml:space="preserve"> Ein </w:t>
            </w:r>
            <w:bookmarkStart w:id="6" w:name="_Hlk55991076"/>
            <w:r w:rsidR="001C038A" w:rsidRPr="006353ED">
              <w:rPr>
                <w:rFonts w:cs="Arial"/>
                <w:lang w:eastAsia="en-US"/>
              </w:rPr>
              <w:t xml:space="preserve">erhöhter Bundesanteil erhöht den Druck auf die Kantone das Geld auch tatsächlich </w:t>
            </w:r>
            <w:r w:rsidR="001C038A">
              <w:rPr>
                <w:rFonts w:cs="Arial"/>
                <w:lang w:eastAsia="en-US"/>
              </w:rPr>
              <w:t xml:space="preserve">zu beziehen und mindert </w:t>
            </w:r>
            <w:r w:rsidR="00F831AD">
              <w:rPr>
                <w:rFonts w:cs="Arial"/>
                <w:lang w:eastAsia="en-US"/>
              </w:rPr>
              <w:t xml:space="preserve">somit auch </w:t>
            </w:r>
            <w:r w:rsidR="001C038A">
              <w:rPr>
                <w:rFonts w:cs="Arial"/>
                <w:lang w:eastAsia="en-US"/>
              </w:rPr>
              <w:t>die Gefahr von</w:t>
            </w:r>
            <w:r w:rsidR="001C038A" w:rsidRPr="001C038A">
              <w:rPr>
                <w:rFonts w:cs="Arial"/>
                <w:lang w:eastAsia="en-US"/>
              </w:rPr>
              <w:t xml:space="preserve"> Wettbewerbsverzerrun</w:t>
            </w:r>
            <w:r w:rsidR="001C038A">
              <w:rPr>
                <w:rFonts w:cs="Arial"/>
                <w:lang w:eastAsia="en-US"/>
              </w:rPr>
              <w:t>gen</w:t>
            </w:r>
            <w:r w:rsidR="001C038A" w:rsidRPr="001C038A">
              <w:rPr>
                <w:rFonts w:cs="Arial"/>
                <w:lang w:eastAsia="en-US"/>
              </w:rPr>
              <w:t xml:space="preserve"> </w:t>
            </w:r>
            <w:r w:rsidR="001C038A">
              <w:rPr>
                <w:rFonts w:cs="Arial"/>
                <w:lang w:eastAsia="en-US"/>
              </w:rPr>
              <w:t>aufgrund von un</w:t>
            </w:r>
            <w:r w:rsidR="001C038A" w:rsidRPr="001C038A">
              <w:rPr>
                <w:rFonts w:cs="Arial"/>
                <w:lang w:eastAsia="en-US"/>
              </w:rPr>
              <w:t>einheitliche</w:t>
            </w:r>
            <w:r w:rsidR="001C038A">
              <w:rPr>
                <w:rFonts w:cs="Arial"/>
                <w:lang w:eastAsia="en-US"/>
              </w:rPr>
              <w:t>r</w:t>
            </w:r>
            <w:r w:rsidR="001C038A" w:rsidRPr="001C038A">
              <w:rPr>
                <w:rFonts w:cs="Arial"/>
                <w:lang w:eastAsia="en-US"/>
              </w:rPr>
              <w:t xml:space="preserve"> Behandlung der Härtefälle.</w:t>
            </w:r>
            <w:r w:rsidR="00F831AD">
              <w:rPr>
                <w:rFonts w:cs="Arial"/>
                <w:lang w:eastAsia="en-US"/>
              </w:rPr>
              <w:t xml:space="preserve"> </w:t>
            </w:r>
            <w:bookmarkStart w:id="7" w:name="_Hlk55991742"/>
            <w:r w:rsidR="005C6F3F">
              <w:rPr>
                <w:rFonts w:cs="Arial"/>
                <w:lang w:eastAsia="en-US"/>
              </w:rPr>
              <w:t>Weiter fordert der STV eine Ersatzlösung für Härtefälle in Kantonen, welche nicht bereit sind, sich an der Härtefalllösung zu beteiligen.</w:t>
            </w:r>
            <w:bookmarkEnd w:id="6"/>
            <w:bookmarkEnd w:id="7"/>
          </w:p>
        </w:tc>
      </w:tr>
      <w:bookmarkEnd w:id="3"/>
    </w:tbl>
    <w:p w14:paraId="03EBB54C" w14:textId="77777777" w:rsidR="00595D4E" w:rsidRDefault="00595D4E" w:rsidP="00595D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6"/>
      </w:tblGrid>
      <w:tr w:rsidR="00595D4E" w14:paraId="273D9493" w14:textId="77777777" w:rsidTr="00E770A7">
        <w:tc>
          <w:tcPr>
            <w:tcW w:w="90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96C62E" w14:textId="77777777" w:rsidR="00416BF8" w:rsidRPr="00E770A7" w:rsidRDefault="00595D4E" w:rsidP="00EA4FC2">
            <w:pPr>
              <w:pStyle w:val="berschrift1"/>
              <w:spacing w:before="0"/>
              <w:rPr>
                <w:sz w:val="28"/>
                <w:szCs w:val="28"/>
              </w:rPr>
            </w:pPr>
            <w:r w:rsidRPr="00E770A7">
              <w:rPr>
                <w:sz w:val="28"/>
                <w:szCs w:val="28"/>
              </w:rPr>
              <w:t>6. Abschnitt: Ka</w:t>
            </w:r>
            <w:r w:rsidR="00D25178" w:rsidRPr="00E770A7">
              <w:rPr>
                <w:sz w:val="28"/>
                <w:szCs w:val="28"/>
              </w:rPr>
              <w:t xml:space="preserve">pitalverlust und Überschuldung </w:t>
            </w:r>
            <w:r w:rsidR="00F03218" w:rsidRPr="00E770A7">
              <w:rPr>
                <w:sz w:val="28"/>
                <w:szCs w:val="28"/>
              </w:rPr>
              <w:t>und</w:t>
            </w:r>
            <w:r w:rsidR="00416BF8" w:rsidRPr="00E770A7">
              <w:rPr>
                <w:sz w:val="28"/>
                <w:szCs w:val="28"/>
              </w:rPr>
              <w:br/>
              <w:t xml:space="preserve">7. Abschnitt: </w:t>
            </w:r>
            <w:r w:rsidR="00EA4FC2">
              <w:rPr>
                <w:sz w:val="28"/>
                <w:szCs w:val="28"/>
              </w:rPr>
              <w:t>Schlussbestimmungen</w:t>
            </w:r>
          </w:p>
        </w:tc>
      </w:tr>
      <w:tr w:rsidR="00595D4E" w14:paraId="7E028177"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00799848" w14:textId="77777777" w:rsidR="00595D4E" w:rsidRDefault="00595D4E" w:rsidP="0021620B">
            <w:pPr>
              <w:spacing w:before="60" w:after="60"/>
              <w:rPr>
                <w:rFonts w:cs="Arial"/>
                <w:b/>
                <w:lang w:eastAsia="en-US"/>
              </w:rPr>
            </w:pPr>
            <w:r>
              <w:rPr>
                <w:rFonts w:cs="Arial"/>
                <w:b/>
                <w:lang w:eastAsia="en-US"/>
              </w:rPr>
              <w:t>Thema</w:t>
            </w:r>
          </w:p>
        </w:tc>
        <w:tc>
          <w:tcPr>
            <w:tcW w:w="7876" w:type="dxa"/>
            <w:tcBorders>
              <w:top w:val="single" w:sz="4" w:space="0" w:color="auto"/>
              <w:left w:val="single" w:sz="4" w:space="0" w:color="auto"/>
              <w:bottom w:val="single" w:sz="4" w:space="0" w:color="auto"/>
              <w:right w:val="single" w:sz="4" w:space="0" w:color="auto"/>
            </w:tcBorders>
            <w:hideMark/>
          </w:tcPr>
          <w:p w14:paraId="53D3C391" w14:textId="77777777" w:rsidR="00595D4E" w:rsidRDefault="00595D4E" w:rsidP="0021620B">
            <w:pPr>
              <w:spacing w:before="60" w:after="60"/>
              <w:rPr>
                <w:rFonts w:cs="Arial"/>
                <w:b/>
                <w:lang w:eastAsia="en-US"/>
              </w:rPr>
            </w:pPr>
            <w:r>
              <w:rPr>
                <w:rFonts w:cs="Arial"/>
                <w:b/>
                <w:lang w:eastAsia="en-US"/>
              </w:rPr>
              <w:t>Bemerkung/Anregung</w:t>
            </w:r>
          </w:p>
        </w:tc>
      </w:tr>
      <w:tr w:rsidR="009971A3" w14:paraId="2C7189DD" w14:textId="77777777" w:rsidTr="003C4938">
        <w:tc>
          <w:tcPr>
            <w:tcW w:w="1185" w:type="dxa"/>
            <w:tcBorders>
              <w:top w:val="single" w:sz="4" w:space="0" w:color="auto"/>
              <w:left w:val="single" w:sz="4" w:space="0" w:color="auto"/>
              <w:bottom w:val="single" w:sz="4" w:space="0" w:color="auto"/>
              <w:right w:val="single" w:sz="4" w:space="0" w:color="auto"/>
            </w:tcBorders>
            <w:hideMark/>
          </w:tcPr>
          <w:p w14:paraId="43A5EBDF" w14:textId="77777777" w:rsidR="009971A3" w:rsidRDefault="009971A3" w:rsidP="009971A3">
            <w:pPr>
              <w:spacing w:before="120" w:after="120"/>
              <w:rPr>
                <w:rFonts w:cs="Arial"/>
                <w:lang w:eastAsia="en-US"/>
              </w:rPr>
            </w:pPr>
            <w:r>
              <w:rPr>
                <w:rFonts w:cs="Arial"/>
                <w:lang w:eastAsia="en-US"/>
              </w:rPr>
              <w:fldChar w:fldCharType="begin"/>
            </w:r>
            <w:r>
              <w:rPr>
                <w:rFonts w:cs="Arial"/>
                <w:lang w:eastAsia="en-US"/>
              </w:rPr>
              <w:instrText xml:space="preserve"> REF Abk \h  \* MERGEFORMAT </w:instrText>
            </w:r>
            <w:r>
              <w:rPr>
                <w:rFonts w:cs="Arial"/>
                <w:lang w:eastAsia="en-US"/>
              </w:rPr>
            </w:r>
            <w:r>
              <w:rPr>
                <w:rFonts w:cs="Arial"/>
                <w:lang w:eastAsia="en-US"/>
              </w:rPr>
              <w:fldChar w:fldCharType="end"/>
            </w:r>
            <w:r>
              <w:rPr>
                <w:rFonts w:cs="Arial"/>
                <w:lang w:eastAsia="en-US"/>
              </w:rPr>
              <w:t xml:space="preserve">Art. 20 </w:t>
            </w:r>
          </w:p>
          <w:p w14:paraId="412DBE32" w14:textId="4F56ABA5" w:rsidR="009971A3" w:rsidRDefault="009971A3" w:rsidP="009971A3">
            <w:pPr>
              <w:spacing w:before="120" w:after="120"/>
              <w:rPr>
                <w:rFonts w:cs="Arial"/>
                <w:lang w:eastAsia="en-US"/>
              </w:rPr>
            </w:pPr>
            <w:r w:rsidRPr="005D4B0B">
              <w:rPr>
                <w:rFonts w:cs="Arial"/>
                <w:b/>
                <w:u w:val="single"/>
                <w:lang w:eastAsia="en-US"/>
              </w:rPr>
              <w:t>Präzisierung</w:t>
            </w:r>
          </w:p>
        </w:tc>
        <w:tc>
          <w:tcPr>
            <w:tcW w:w="7876" w:type="dxa"/>
            <w:tcBorders>
              <w:top w:val="single" w:sz="4" w:space="0" w:color="auto"/>
              <w:left w:val="single" w:sz="4" w:space="0" w:color="auto"/>
              <w:bottom w:val="single" w:sz="4" w:space="0" w:color="auto"/>
              <w:right w:val="single" w:sz="4" w:space="0" w:color="auto"/>
            </w:tcBorders>
            <w:hideMark/>
          </w:tcPr>
          <w:p w14:paraId="12E669B2" w14:textId="174C5062" w:rsidR="009971A3" w:rsidRDefault="009971A3" w:rsidP="009971A3">
            <w:pPr>
              <w:spacing w:before="120" w:after="120"/>
              <w:rPr>
                <w:rFonts w:cs="Arial"/>
                <w:lang w:eastAsia="en-US"/>
              </w:rPr>
            </w:pPr>
            <w:r>
              <w:rPr>
                <w:rFonts w:cs="Arial"/>
                <w:lang w:eastAsia="en-US"/>
              </w:rPr>
              <w:t xml:space="preserve">Gemäss erläuterndem Bericht werden Forderungen aus Covid-19-Solidarbürgschaftskrediten </w:t>
            </w:r>
            <w:r w:rsidRPr="005D4B0B">
              <w:rPr>
                <w:rFonts w:cs="Arial"/>
                <w:lang w:eastAsia="en-US"/>
              </w:rPr>
              <w:t>und -Härtefallkredite</w:t>
            </w:r>
            <w:r>
              <w:rPr>
                <w:rFonts w:cs="Arial"/>
                <w:lang w:eastAsia="en-US"/>
              </w:rPr>
              <w:t xml:space="preserve"> nicht zum Fremdkapital gezählt. </w:t>
            </w:r>
            <w:r w:rsidR="001C038A">
              <w:rPr>
                <w:rFonts w:cs="Arial"/>
                <w:lang w:eastAsia="en-US"/>
              </w:rPr>
              <w:t xml:space="preserve">Der STV </w:t>
            </w:r>
            <w:r>
              <w:rPr>
                <w:rFonts w:cs="Arial"/>
                <w:lang w:eastAsia="en-US"/>
              </w:rPr>
              <w:t xml:space="preserve">spricht sich dafür aus, dass gewährte Kredite der SGH, die im Jahr 2020 gewährt wurden, auch nicht zum Fremdkapital gezählt werden. </w:t>
            </w:r>
          </w:p>
        </w:tc>
      </w:tr>
    </w:tbl>
    <w:p w14:paraId="5631C383" w14:textId="77777777" w:rsidR="004104E6" w:rsidRPr="005C025F" w:rsidRDefault="004104E6" w:rsidP="005C025F">
      <w:pPr>
        <w:spacing w:line="240" w:lineRule="auto"/>
        <w:rPr>
          <w:rFonts w:cs="Arial"/>
          <w:sz w:val="16"/>
          <w:szCs w:val="16"/>
        </w:rPr>
      </w:pPr>
    </w:p>
    <w:sectPr w:rsidR="004104E6" w:rsidRPr="005C025F" w:rsidSect="009B5AC1">
      <w:headerReference w:type="default" r:id="rId7"/>
      <w:footerReference w:type="default" r:id="rId8"/>
      <w:headerReference w:type="first" r:id="rId9"/>
      <w:footerReference w:type="first" r:id="rId10"/>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98020" w14:textId="77777777" w:rsidR="00F1652E" w:rsidRDefault="00F1652E">
      <w:r>
        <w:separator/>
      </w:r>
    </w:p>
  </w:endnote>
  <w:endnote w:type="continuationSeparator" w:id="0">
    <w:p w14:paraId="797583AB" w14:textId="77777777" w:rsidR="00F1652E" w:rsidRDefault="00F1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1" w:type="dxa"/>
      <w:tblLayout w:type="fixed"/>
      <w:tblLook w:val="01E0" w:firstRow="1" w:lastRow="1" w:firstColumn="1" w:lastColumn="1" w:noHBand="0" w:noVBand="0"/>
    </w:tblPr>
    <w:tblGrid>
      <w:gridCol w:w="9214"/>
      <w:gridCol w:w="397"/>
    </w:tblGrid>
    <w:tr w:rsidR="004104E6" w14:paraId="3673E4A2" w14:textId="77777777">
      <w:trPr>
        <w:cantSplit/>
      </w:trPr>
      <w:tc>
        <w:tcPr>
          <w:tcW w:w="9611" w:type="dxa"/>
          <w:gridSpan w:val="2"/>
          <w:vAlign w:val="bottom"/>
        </w:tcPr>
        <w:p w14:paraId="2C86478E" w14:textId="77777777" w:rsidR="004104E6" w:rsidRDefault="00A25DD0">
          <w:pPr>
            <w:pStyle w:val="ZSeiteCDB"/>
          </w:pPr>
          <w:r>
            <w:fldChar w:fldCharType="begin"/>
          </w:r>
          <w:r>
            <w:instrText xml:space="preserve"> PAGE  </w:instrText>
          </w:r>
          <w:r>
            <w:fldChar w:fldCharType="separate"/>
          </w:r>
          <w:r w:rsidR="006C09BE">
            <w:rPr>
              <w:noProof/>
            </w:rPr>
            <w:t>3</w:t>
          </w:r>
          <w:r>
            <w:rPr>
              <w:noProof/>
            </w:rPr>
            <w:fldChar w:fldCharType="end"/>
          </w:r>
          <w:r w:rsidR="004104E6">
            <w:t>/</w:t>
          </w:r>
          <w:fldSimple w:instr=" NUMPAGES  ">
            <w:r w:rsidR="006C09BE">
              <w:rPr>
                <w:noProof/>
              </w:rPr>
              <w:t>3</w:t>
            </w:r>
          </w:fldSimple>
        </w:p>
      </w:tc>
    </w:tr>
    <w:tr w:rsidR="004104E6" w:rsidRPr="004B3F9D" w14:paraId="661DA2D3" w14:textId="77777777">
      <w:trPr>
        <w:gridAfter w:val="1"/>
        <w:wAfter w:w="397" w:type="dxa"/>
        <w:cantSplit/>
        <w:trHeight w:hRule="exact" w:val="540"/>
      </w:trPr>
      <w:tc>
        <w:tcPr>
          <w:tcW w:w="9214" w:type="dxa"/>
          <w:vAlign w:val="bottom"/>
        </w:tcPr>
        <w:p w14:paraId="1716F0B9" w14:textId="77777777" w:rsidR="004104E6" w:rsidRPr="004B3F9D" w:rsidRDefault="00A25DD0">
          <w:pPr>
            <w:pStyle w:val="ZPfadCDB"/>
            <w:rPr>
              <w:lang w:val="en-GB"/>
            </w:rPr>
          </w:pPr>
          <w:r>
            <w:t>Antwortformular</w:t>
          </w:r>
        </w:p>
      </w:tc>
    </w:tr>
  </w:tbl>
  <w:p w14:paraId="19FC6CA5" w14:textId="77777777" w:rsidR="004104E6" w:rsidRPr="004B3F9D" w:rsidRDefault="004104E6">
    <w:pPr>
      <w:pStyle w:val="ZPlatzhalterCDB"/>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5" w:type="dxa"/>
      <w:tblLayout w:type="fixed"/>
      <w:tblLook w:val="01E0" w:firstRow="1" w:lastRow="1" w:firstColumn="1" w:lastColumn="1" w:noHBand="0" w:noVBand="0"/>
    </w:tblPr>
    <w:tblGrid>
      <w:gridCol w:w="9215"/>
    </w:tblGrid>
    <w:tr w:rsidR="004104E6" w:rsidRPr="004B3F9D" w14:paraId="6CD70406" w14:textId="77777777">
      <w:trPr>
        <w:cantSplit/>
        <w:trHeight w:hRule="exact" w:val="540"/>
      </w:trPr>
      <w:tc>
        <w:tcPr>
          <w:tcW w:w="9215" w:type="dxa"/>
          <w:vAlign w:val="bottom"/>
        </w:tcPr>
        <w:p w14:paraId="0BD7B212" w14:textId="77777777" w:rsidR="004104E6" w:rsidRPr="004B3F9D" w:rsidRDefault="00D02E29">
          <w:pPr>
            <w:pStyle w:val="ZPfadCDB"/>
            <w:rPr>
              <w:lang w:val="en-GB"/>
            </w:rPr>
          </w:pPr>
          <w:bookmarkStart w:id="9" w:name="_Hlk112468646"/>
          <w:r>
            <w:t>Antwortformular</w:t>
          </w:r>
        </w:p>
      </w:tc>
    </w:tr>
    <w:bookmarkEnd w:id="9"/>
  </w:tbl>
  <w:p w14:paraId="0FC24FD2" w14:textId="77777777" w:rsidR="004104E6" w:rsidRPr="004B3F9D" w:rsidRDefault="004104E6">
    <w:pPr>
      <w:pStyle w:val="ZPlatzhalterCDB"/>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8EC4" w14:textId="77777777" w:rsidR="00F1652E" w:rsidRDefault="00F1652E">
      <w:r>
        <w:separator/>
      </w:r>
    </w:p>
  </w:footnote>
  <w:footnote w:type="continuationSeparator" w:id="0">
    <w:p w14:paraId="492956CF" w14:textId="77777777" w:rsidR="00F1652E" w:rsidRDefault="00F1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Layout w:type="fixed"/>
      <w:tblLook w:val="01E0" w:firstRow="1" w:lastRow="1" w:firstColumn="1" w:lastColumn="1" w:noHBand="0" w:noVBand="0"/>
    </w:tblPr>
    <w:tblGrid>
      <w:gridCol w:w="4607"/>
      <w:gridCol w:w="4607"/>
    </w:tblGrid>
    <w:tr w:rsidR="004104E6" w14:paraId="5D8C2CAD" w14:textId="77777777">
      <w:trPr>
        <w:cantSplit/>
        <w:trHeight w:hRule="exact" w:val="420"/>
      </w:trPr>
      <w:tc>
        <w:tcPr>
          <w:tcW w:w="4607" w:type="dxa"/>
        </w:tcPr>
        <w:p w14:paraId="7C7C16E9" w14:textId="77777777" w:rsidR="004104E6" w:rsidRDefault="004104E6">
          <w:pPr>
            <w:pStyle w:val="ZReferenzCDB"/>
          </w:pPr>
          <w:bookmarkStart w:id="8" w:name="tm_aktekopf"/>
          <w:r>
            <w:t>Aktenzeichen</w:t>
          </w:r>
          <w:bookmarkEnd w:id="8"/>
          <w:r w:rsidR="00686684">
            <w:t>: 429/1/3/8</w:t>
          </w:r>
        </w:p>
      </w:tc>
      <w:tc>
        <w:tcPr>
          <w:tcW w:w="4607" w:type="dxa"/>
        </w:tcPr>
        <w:p w14:paraId="3F87F343" w14:textId="77777777" w:rsidR="004104E6" w:rsidRPr="00275033" w:rsidRDefault="004104E6">
          <w:pPr>
            <w:pStyle w:val="ZAdressatfettCDB"/>
            <w:jc w:val="right"/>
            <w:rPr>
              <w:bCs/>
            </w:rPr>
          </w:pPr>
        </w:p>
      </w:tc>
    </w:tr>
  </w:tbl>
  <w:p w14:paraId="659AD2CB" w14:textId="77777777" w:rsidR="004104E6" w:rsidRDefault="004104E6">
    <w:pPr>
      <w:pStyle w:val="ZPlatzhalterCD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9" w:type="dxa"/>
      <w:tblInd w:w="-595" w:type="dxa"/>
      <w:tblLayout w:type="fixed"/>
      <w:tblLook w:val="01E0" w:firstRow="1" w:lastRow="1" w:firstColumn="1" w:lastColumn="1" w:noHBand="0" w:noVBand="0"/>
    </w:tblPr>
    <w:tblGrid>
      <w:gridCol w:w="4848"/>
      <w:gridCol w:w="4961"/>
    </w:tblGrid>
    <w:tr w:rsidR="004104E6" w14:paraId="1A76920F" w14:textId="77777777">
      <w:trPr>
        <w:cantSplit/>
        <w:trHeight w:hRule="exact" w:val="1980"/>
      </w:trPr>
      <w:tc>
        <w:tcPr>
          <w:tcW w:w="4848" w:type="dxa"/>
        </w:tcPr>
        <w:p w14:paraId="5DD8B3A5" w14:textId="77777777" w:rsidR="004104E6" w:rsidRPr="005C5849" w:rsidRDefault="00555726">
          <w:pPr>
            <w:pStyle w:val="ZLogoCDB"/>
          </w:pPr>
          <w:r>
            <w:rPr>
              <w:noProof/>
              <w:lang w:eastAsia="de-CH"/>
            </w:rPr>
            <w:drawing>
              <wp:inline distT="0" distB="0" distL="0" distR="0" wp14:anchorId="1DE036B5" wp14:editId="3D9F8815">
                <wp:extent cx="1981200" cy="647700"/>
                <wp:effectExtent l="19050" t="0" r="0" b="0"/>
                <wp:docPr id="1" name="Bild 1" descr="Logo Schweizerische Eidgenossenschaft, Confédération suisse, Confederazione Svizzera, Confederaziun svizra, Swiss Con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Confédération suisse, Confederazione Svizzera, Confederaziun svizra, Swiss Confederation"/>
                        <pic:cNvPicPr>
                          <a:picLocks noChangeAspect="1" noChangeArrowheads="1"/>
                        </pic:cNvPicPr>
                      </pic:nvPicPr>
                      <pic:blipFill>
                        <a:blip r:embed="rId1"/>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5D709ED3" w14:textId="77777777" w:rsidR="004104E6" w:rsidRPr="005C5849" w:rsidRDefault="004104E6">
          <w:pPr>
            <w:pStyle w:val="ZLogoCDB"/>
          </w:pPr>
        </w:p>
      </w:tc>
      <w:tc>
        <w:tcPr>
          <w:tcW w:w="4961" w:type="dxa"/>
        </w:tcPr>
        <w:p w14:paraId="4489F558" w14:textId="77777777" w:rsidR="00CA6BA8" w:rsidRPr="00CB32C5" w:rsidRDefault="00CA6BA8" w:rsidP="00CA6BA8">
          <w:pPr>
            <w:pStyle w:val="KopfzeileDepartement"/>
          </w:pPr>
          <w:r>
            <w:t>Eidgenössisches Finanzdepartement</w:t>
          </w:r>
          <w:r w:rsidRPr="00CB32C5">
            <w:t xml:space="preserve"> </w:t>
          </w:r>
          <w:r>
            <w:t>EFD</w:t>
          </w:r>
        </w:p>
        <w:p w14:paraId="7B9611FF" w14:textId="77777777" w:rsidR="00CA6BA8" w:rsidRPr="00CB32C5" w:rsidRDefault="00CA6BA8" w:rsidP="00CA6BA8">
          <w:pPr>
            <w:pStyle w:val="KopfzeileFett"/>
          </w:pPr>
          <w:r>
            <w:t>Eidgenössische Finanzverwaltung</w:t>
          </w:r>
          <w:r w:rsidRPr="00CB32C5">
            <w:t xml:space="preserve"> </w:t>
          </w:r>
          <w:r>
            <w:t>EFV</w:t>
          </w:r>
        </w:p>
        <w:p w14:paraId="473D6C75" w14:textId="77777777" w:rsidR="004104E6" w:rsidRDefault="004104E6" w:rsidP="00CA6BA8">
          <w:pPr>
            <w:pStyle w:val="ZHierarchieCDB"/>
          </w:pPr>
        </w:p>
      </w:tc>
    </w:tr>
  </w:tbl>
  <w:p w14:paraId="51CDFCD9" w14:textId="77777777" w:rsidR="004104E6" w:rsidRDefault="004104E6">
    <w:pPr>
      <w:pStyle w:val="ZPlatzhalterCD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39B9"/>
    <w:multiLevelType w:val="hybridMultilevel"/>
    <w:tmpl w:val="D6369298"/>
    <w:lvl w:ilvl="0" w:tplc="374A7DC0">
      <w:start w:val="1"/>
      <w:numFmt w:val="bullet"/>
      <w:pStyle w:val="Aufzhlung1CDB"/>
      <w:lvlText w:val=""/>
      <w:lvlJc w:val="left"/>
      <w:pPr>
        <w:tabs>
          <w:tab w:val="num" w:pos="425"/>
        </w:tabs>
        <w:ind w:left="425" w:hanging="425"/>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35B83"/>
    <w:multiLevelType w:val="hybridMultilevel"/>
    <w:tmpl w:val="03981F04"/>
    <w:lvl w:ilvl="0" w:tplc="B2863EF2">
      <w:start w:val="1"/>
      <w:numFmt w:val="decimal"/>
      <w:pStyle w:val="AufzhlungNumm3CDB"/>
      <w:lvlText w:val="%1."/>
      <w:lvlJc w:val="left"/>
      <w:pPr>
        <w:tabs>
          <w:tab w:val="num" w:pos="1277"/>
        </w:tabs>
        <w:ind w:left="1277" w:hanging="426"/>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8E712B4"/>
    <w:multiLevelType w:val="hybridMultilevel"/>
    <w:tmpl w:val="F52090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BC60C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36480F"/>
    <w:multiLevelType w:val="hybridMultilevel"/>
    <w:tmpl w:val="57EC7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9A5994"/>
    <w:multiLevelType w:val="multilevel"/>
    <w:tmpl w:val="C35C4FE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36140FF"/>
    <w:multiLevelType w:val="multilevel"/>
    <w:tmpl w:val="55C0FEE2"/>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4"/>
        <w:szCs w:val="24"/>
      </w:rPr>
    </w:lvl>
    <w:lvl w:ilvl="3">
      <w:start w:val="1"/>
      <w:numFmt w:val="decimal"/>
      <w:lvlText w:val="%1.%2.%3.%4"/>
      <w:lvlJc w:val="left"/>
      <w:pPr>
        <w:tabs>
          <w:tab w:val="num" w:pos="1134"/>
        </w:tabs>
        <w:ind w:left="1134" w:hanging="1134"/>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7" w15:restartNumberingAfterBreak="0">
    <w:nsid w:val="34D62EF0"/>
    <w:multiLevelType w:val="multilevel"/>
    <w:tmpl w:val="CEBA5F40"/>
    <w:lvl w:ilvl="0">
      <w:start w:val="1"/>
      <w:numFmt w:val="decimal"/>
      <w:pStyle w:val="Notizberschrift1"/>
      <w:lvlText w:val="%1"/>
      <w:lvlJc w:val="left"/>
      <w:pPr>
        <w:tabs>
          <w:tab w:val="num" w:pos="1134"/>
        </w:tabs>
        <w:ind w:left="1134" w:hanging="1134"/>
      </w:pPr>
      <w:rPr>
        <w:rFonts w:ascii="Arial" w:hAnsi="Arial" w:hint="default"/>
        <w:b/>
        <w:i w:val="0"/>
        <w:sz w:val="26"/>
        <w:szCs w:val="26"/>
      </w:rPr>
    </w:lvl>
    <w:lvl w:ilvl="1">
      <w:start w:val="1"/>
      <w:numFmt w:val="decimal"/>
      <w:pStyle w:val="Notizberschrift2"/>
      <w:lvlText w:val="%1.%2"/>
      <w:lvlJc w:val="left"/>
      <w:pPr>
        <w:tabs>
          <w:tab w:val="num" w:pos="1134"/>
        </w:tabs>
        <w:ind w:left="1134" w:hanging="1134"/>
      </w:pPr>
      <w:rPr>
        <w:rFonts w:ascii="Arial" w:hAnsi="Arial" w:hint="default"/>
        <w:b/>
        <w:i w:val="0"/>
        <w:sz w:val="22"/>
        <w:szCs w:val="28"/>
      </w:rPr>
    </w:lvl>
    <w:lvl w:ilvl="2">
      <w:start w:val="1"/>
      <w:numFmt w:val="decimal"/>
      <w:pStyle w:val="Notizberschrift3"/>
      <w:lvlText w:val="%1.%2.%3"/>
      <w:lvlJc w:val="left"/>
      <w:pPr>
        <w:tabs>
          <w:tab w:val="num" w:pos="1134"/>
        </w:tabs>
        <w:ind w:left="1134" w:hanging="1134"/>
      </w:pPr>
      <w:rPr>
        <w:rFonts w:ascii="Arial" w:hAnsi="Arial" w:hint="default"/>
        <w:b/>
        <w:i w:val="0"/>
        <w:sz w:val="22"/>
        <w:szCs w:val="24"/>
      </w:rPr>
    </w:lvl>
    <w:lvl w:ilvl="3">
      <w:start w:val="1"/>
      <w:numFmt w:val="decimal"/>
      <w:pStyle w:val="Notizberschrift4"/>
      <w:lvlText w:val="%1.%2.%3.%4"/>
      <w:lvlJc w:val="left"/>
      <w:pPr>
        <w:tabs>
          <w:tab w:val="num" w:pos="1134"/>
        </w:tabs>
        <w:ind w:left="1134" w:hanging="1134"/>
      </w:pPr>
      <w:rPr>
        <w:rFonts w:ascii="Arial" w:hAnsi="Arial" w:hint="default"/>
        <w:b w:val="0"/>
        <w:i w:val="0"/>
        <w:sz w:val="22"/>
        <w:szCs w:val="22"/>
      </w:rPr>
    </w:lvl>
    <w:lvl w:ilvl="4">
      <w:start w:val="1"/>
      <w:numFmt w:val="decimal"/>
      <w:pStyle w:val="Notizberschrift5"/>
      <w:lvlText w:val="%1.%2.%3.%4.%5"/>
      <w:lvlJc w:val="left"/>
      <w:pPr>
        <w:tabs>
          <w:tab w:val="num" w:pos="1134"/>
        </w:tabs>
        <w:ind w:left="1134" w:hanging="1134"/>
      </w:pPr>
      <w:rPr>
        <w:rFonts w:ascii="Arial" w:hAnsi="Arial" w:hint="default"/>
        <w:b w:val="0"/>
        <w:i w:val="0"/>
        <w:sz w:val="22"/>
        <w:szCs w:val="22"/>
      </w:rPr>
    </w:lvl>
    <w:lvl w:ilvl="5">
      <w:start w:val="1"/>
      <w:numFmt w:val="decimal"/>
      <w:pStyle w:val="berschrift6"/>
      <w:lvlText w:val="%1.%2.%3.%4.%5.%6"/>
      <w:lvlJc w:val="left"/>
      <w:pPr>
        <w:tabs>
          <w:tab w:val="num" w:pos="1134"/>
        </w:tabs>
        <w:ind w:left="1134" w:hanging="1134"/>
      </w:pPr>
      <w:rPr>
        <w:rFonts w:ascii="Arial" w:hAnsi="Arial" w:hint="default"/>
        <w:b w:val="0"/>
        <w:i w:val="0"/>
        <w:sz w:val="22"/>
        <w:szCs w:val="22"/>
      </w:rPr>
    </w:lvl>
    <w:lvl w:ilvl="6">
      <w:start w:val="1"/>
      <w:numFmt w:val="decimal"/>
      <w:pStyle w:val="berschrift7"/>
      <w:lvlText w:val="%1.%2.%3.%4.%5.%6.%7"/>
      <w:lvlJc w:val="left"/>
      <w:pPr>
        <w:tabs>
          <w:tab w:val="num" w:pos="1701"/>
        </w:tabs>
        <w:ind w:left="1701" w:hanging="1701"/>
      </w:pPr>
      <w:rPr>
        <w:rFonts w:ascii="Arial" w:hAnsi="Arial" w:hint="default"/>
        <w:b w:val="0"/>
        <w:i w:val="0"/>
        <w:sz w:val="22"/>
        <w:szCs w:val="22"/>
      </w:rPr>
    </w:lvl>
    <w:lvl w:ilvl="7">
      <w:start w:val="1"/>
      <w:numFmt w:val="decimal"/>
      <w:pStyle w:val="berschrift8"/>
      <w:lvlText w:val="%1.%2.%3.%4.%5.%6.%7.%8"/>
      <w:lvlJc w:val="left"/>
      <w:pPr>
        <w:tabs>
          <w:tab w:val="num" w:pos="1701"/>
        </w:tabs>
        <w:ind w:left="1701" w:hanging="1701"/>
      </w:pPr>
      <w:rPr>
        <w:rFonts w:ascii="Arial" w:hAnsi="Arial" w:hint="default"/>
        <w:b w:val="0"/>
        <w:i w:val="0"/>
        <w:sz w:val="22"/>
        <w:szCs w:val="22"/>
      </w:rPr>
    </w:lvl>
    <w:lvl w:ilvl="8">
      <w:start w:val="1"/>
      <w:numFmt w:val="decimal"/>
      <w:pStyle w:val="berschrift9"/>
      <w:lvlText w:val="%1.%2.%3.%4.%5.%6.%7.%8.%9"/>
      <w:lvlJc w:val="left"/>
      <w:pPr>
        <w:tabs>
          <w:tab w:val="num" w:pos="1701"/>
        </w:tabs>
        <w:ind w:left="1701" w:hanging="1701"/>
      </w:pPr>
      <w:rPr>
        <w:rFonts w:ascii="Arial" w:hAnsi="Arial" w:hint="default"/>
        <w:b w:val="0"/>
        <w:i w:val="0"/>
        <w:sz w:val="22"/>
        <w:szCs w:val="22"/>
      </w:rPr>
    </w:lvl>
  </w:abstractNum>
  <w:abstractNum w:abstractNumId="8" w15:restartNumberingAfterBreak="0">
    <w:nsid w:val="36383F9D"/>
    <w:multiLevelType w:val="multilevel"/>
    <w:tmpl w:val="B7BEA61A"/>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decimal"/>
      <w:lvlText w:val="%1.%2"/>
      <w:lvlJc w:val="left"/>
      <w:pPr>
        <w:tabs>
          <w:tab w:val="num" w:pos="1134"/>
        </w:tabs>
        <w:ind w:left="1134" w:hanging="1134"/>
      </w:pPr>
      <w:rPr>
        <w:rFonts w:ascii="Arial" w:hAnsi="Arial" w:hint="default"/>
        <w:b/>
        <w:i w:val="0"/>
        <w:sz w:val="28"/>
        <w:szCs w:val="28"/>
      </w:rPr>
    </w:lvl>
    <w:lvl w:ilvl="2">
      <w:start w:val="1"/>
      <w:numFmt w:val="decimal"/>
      <w:lvlText w:val="%1.%2.%3"/>
      <w:lvlJc w:val="left"/>
      <w:pPr>
        <w:tabs>
          <w:tab w:val="num" w:pos="1134"/>
        </w:tabs>
        <w:ind w:left="1134" w:hanging="1134"/>
      </w:pPr>
      <w:rPr>
        <w:rFonts w:ascii="Arial" w:hAnsi="Arial" w:hint="default"/>
        <w:b/>
        <w:i w:val="0"/>
        <w:sz w:val="24"/>
        <w:szCs w:val="24"/>
      </w:rPr>
    </w:lvl>
    <w:lvl w:ilvl="3">
      <w:start w:val="1"/>
      <w:numFmt w:val="decimal"/>
      <w:lvlText w:val="%1.%2.%3.%4"/>
      <w:lvlJc w:val="left"/>
      <w:pPr>
        <w:tabs>
          <w:tab w:val="num" w:pos="1134"/>
        </w:tabs>
        <w:ind w:left="1134" w:hanging="1134"/>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9" w15:restartNumberingAfterBreak="0">
    <w:nsid w:val="3A5173DB"/>
    <w:multiLevelType w:val="hybridMultilevel"/>
    <w:tmpl w:val="F502F3B8"/>
    <w:lvl w:ilvl="0" w:tplc="D1C04116">
      <w:start w:val="1"/>
      <w:numFmt w:val="bullet"/>
      <w:pStyle w:val="Aufzhlung2CDB"/>
      <w:lvlText w:val=""/>
      <w:lvlJc w:val="left"/>
      <w:pPr>
        <w:tabs>
          <w:tab w:val="num" w:pos="851"/>
        </w:tabs>
        <w:ind w:left="851" w:hanging="42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44EE0"/>
    <w:multiLevelType w:val="hybridMultilevel"/>
    <w:tmpl w:val="4754D80A"/>
    <w:lvl w:ilvl="0" w:tplc="0AB89602">
      <w:start w:val="1"/>
      <w:numFmt w:val="bullet"/>
      <w:pStyle w:val="Aufzhlung3CDB"/>
      <w:lvlText w:val=""/>
      <w:lvlJc w:val="left"/>
      <w:pPr>
        <w:tabs>
          <w:tab w:val="num" w:pos="1276"/>
        </w:tabs>
        <w:ind w:left="1277" w:hanging="42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E6E72"/>
    <w:multiLevelType w:val="hybridMultilevel"/>
    <w:tmpl w:val="D4846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B32C57"/>
    <w:multiLevelType w:val="hybridMultilevel"/>
    <w:tmpl w:val="81A8AE9E"/>
    <w:lvl w:ilvl="0" w:tplc="E1AC271A">
      <w:start w:val="1"/>
      <w:numFmt w:val="lowerLetter"/>
      <w:pStyle w:val="Aufzhlunga2CDB"/>
      <w:lvlText w:val="%1."/>
      <w:lvlJc w:val="left"/>
      <w:pPr>
        <w:tabs>
          <w:tab w:val="num" w:pos="851"/>
        </w:tabs>
        <w:ind w:left="851" w:hanging="426"/>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6A86606"/>
    <w:multiLevelType w:val="hybridMultilevel"/>
    <w:tmpl w:val="6F28C39E"/>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B554DE2"/>
    <w:multiLevelType w:val="hybridMultilevel"/>
    <w:tmpl w:val="E03ABAF4"/>
    <w:lvl w:ilvl="0" w:tplc="028E666E">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5" w15:restartNumberingAfterBreak="0">
    <w:nsid w:val="4F303037"/>
    <w:multiLevelType w:val="multilevel"/>
    <w:tmpl w:val="B688EFE8"/>
    <w:lvl w:ilvl="0">
      <w:start w:val="1"/>
      <w:numFmt w:val="decimal"/>
      <w:lvlText w:val="%1"/>
      <w:lvlJc w:val="left"/>
      <w:pPr>
        <w:tabs>
          <w:tab w:val="num" w:pos="1134"/>
        </w:tabs>
        <w:ind w:left="1134" w:hanging="1134"/>
      </w:pPr>
      <w:rPr>
        <w:rFonts w:ascii="Arial" w:hAnsi="Arial" w:hint="default"/>
        <w:b/>
        <w:i w:val="0"/>
        <w:sz w:val="28"/>
        <w:szCs w:val="32"/>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2"/>
        <w:szCs w:val="24"/>
      </w:rPr>
    </w:lvl>
    <w:lvl w:ilvl="3">
      <w:start w:val="1"/>
      <w:numFmt w:val="decimal"/>
      <w:lvlText w:val="%1.%2.%3.%4"/>
      <w:lvlJc w:val="left"/>
      <w:pPr>
        <w:tabs>
          <w:tab w:val="num" w:pos="1134"/>
        </w:tabs>
        <w:ind w:left="1134" w:hanging="1134"/>
      </w:pPr>
      <w:rPr>
        <w:rFonts w:ascii="Arial" w:hAnsi="Arial" w:hint="default"/>
        <w:b w:val="0"/>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6" w15:restartNumberingAfterBreak="0">
    <w:nsid w:val="4F6F0C3A"/>
    <w:multiLevelType w:val="hybridMultilevel"/>
    <w:tmpl w:val="86B40ADE"/>
    <w:lvl w:ilvl="0" w:tplc="41B4156E">
      <w:start w:val="1"/>
      <w:numFmt w:val="decimal"/>
      <w:pStyle w:val="AufzhlungNumm1CDB"/>
      <w:lvlText w:val="%1."/>
      <w:lvlJc w:val="left"/>
      <w:pPr>
        <w:tabs>
          <w:tab w:val="num" w:pos="425"/>
        </w:tabs>
        <w:ind w:left="425" w:hanging="425"/>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59637DC6"/>
    <w:multiLevelType w:val="hybridMultilevel"/>
    <w:tmpl w:val="B642B016"/>
    <w:lvl w:ilvl="0" w:tplc="B2AAA6E8">
      <w:start w:val="1"/>
      <w:numFmt w:val="lowerLetter"/>
      <w:pStyle w:val="Aufzhlunga1CDB"/>
      <w:lvlText w:val="%1."/>
      <w:lvlJc w:val="left"/>
      <w:pPr>
        <w:tabs>
          <w:tab w:val="num" w:pos="425"/>
        </w:tabs>
        <w:ind w:left="425" w:hanging="425"/>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A7929B4"/>
    <w:multiLevelType w:val="hybridMultilevel"/>
    <w:tmpl w:val="48A8E1A2"/>
    <w:lvl w:ilvl="0" w:tplc="42B6D6A2">
      <w:start w:val="1"/>
      <w:numFmt w:val="decimal"/>
      <w:pStyle w:val="AufzhlungNumm2CDB"/>
      <w:lvlText w:val="%1."/>
      <w:lvlJc w:val="left"/>
      <w:pPr>
        <w:tabs>
          <w:tab w:val="num" w:pos="851"/>
        </w:tabs>
        <w:ind w:left="851" w:hanging="426"/>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CD655F4"/>
    <w:multiLevelType w:val="hybridMultilevel"/>
    <w:tmpl w:val="83A82BB0"/>
    <w:lvl w:ilvl="0" w:tplc="F5C4167A">
      <w:start w:val="1"/>
      <w:numFmt w:val="lowerLetter"/>
      <w:pStyle w:val="Aufzhlunga3CDB"/>
      <w:lvlText w:val="%1."/>
      <w:lvlJc w:val="left"/>
      <w:pPr>
        <w:tabs>
          <w:tab w:val="num" w:pos="1276"/>
        </w:tabs>
        <w:ind w:left="1276" w:hanging="425"/>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1106649"/>
    <w:multiLevelType w:val="multilevel"/>
    <w:tmpl w:val="5F1659D8"/>
    <w:lvl w:ilvl="0">
      <w:start w:val="1"/>
      <w:numFmt w:val="decimal"/>
      <w:lvlText w:val="%1"/>
      <w:lvlJc w:val="left"/>
      <w:pPr>
        <w:tabs>
          <w:tab w:val="num" w:pos="1134"/>
        </w:tabs>
        <w:ind w:left="1134" w:hanging="1134"/>
      </w:pPr>
      <w:rPr>
        <w:rFonts w:ascii="Arial" w:hAnsi="Arial" w:hint="default"/>
        <w:b/>
        <w:i w:val="0"/>
        <w:sz w:val="28"/>
        <w:szCs w:val="26"/>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2"/>
        <w:szCs w:val="24"/>
      </w:rPr>
    </w:lvl>
    <w:lvl w:ilvl="3">
      <w:start w:val="1"/>
      <w:numFmt w:val="decimal"/>
      <w:lvlText w:val="%1.%2.%3.%4"/>
      <w:lvlJc w:val="left"/>
      <w:pPr>
        <w:tabs>
          <w:tab w:val="num" w:pos="1134"/>
        </w:tabs>
        <w:ind w:left="1134" w:hanging="1134"/>
      </w:pPr>
      <w:rPr>
        <w:rFonts w:ascii="Arial" w:hAnsi="Arial" w:hint="default"/>
        <w:b w:val="0"/>
        <w:i w:val="0"/>
        <w:sz w:val="22"/>
        <w:szCs w:val="22"/>
      </w:rPr>
    </w:lvl>
    <w:lvl w:ilvl="4">
      <w:start w:val="1"/>
      <w:numFmt w:val="decimal"/>
      <w:lvlText w:val="%1.%2.%3.%4.%5"/>
      <w:lvlJc w:val="left"/>
      <w:pPr>
        <w:tabs>
          <w:tab w:val="num" w:pos="1134"/>
        </w:tabs>
        <w:ind w:left="1134" w:hanging="1134"/>
      </w:pPr>
      <w:rPr>
        <w:rFonts w:ascii="Arial" w:hAnsi="Arial" w:hint="default"/>
        <w:b w:val="0"/>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21" w15:restartNumberingAfterBreak="0">
    <w:nsid w:val="645027AA"/>
    <w:multiLevelType w:val="hybridMultilevel"/>
    <w:tmpl w:val="EB00061C"/>
    <w:lvl w:ilvl="0" w:tplc="F88CA5D8">
      <w:start w:val="1"/>
      <w:numFmt w:val="decimal"/>
      <w:pStyle w:val="ZTraktandenCDB"/>
      <w:lvlText w:val="%1."/>
      <w:lvlJc w:val="left"/>
      <w:pPr>
        <w:tabs>
          <w:tab w:val="num" w:pos="425"/>
        </w:tabs>
        <w:ind w:left="425" w:hanging="425"/>
      </w:pPr>
      <w:rPr>
        <w:rFonts w:ascii="Arial" w:hAnsi="Arial" w:hint="default"/>
        <w:b/>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64E60C94"/>
    <w:multiLevelType w:val="multilevel"/>
    <w:tmpl w:val="D28605B8"/>
    <w:lvl w:ilvl="0">
      <w:start w:val="1"/>
      <w:numFmt w:val="decimal"/>
      <w:lvlText w:val="%1"/>
      <w:lvlJc w:val="left"/>
      <w:pPr>
        <w:tabs>
          <w:tab w:val="num" w:pos="1134"/>
        </w:tabs>
        <w:ind w:left="1134" w:hanging="1134"/>
      </w:pPr>
      <w:rPr>
        <w:rFonts w:ascii="Arial" w:hAnsi="Arial" w:hint="default"/>
        <w:b/>
        <w:i w:val="0"/>
        <w:sz w:val="28"/>
        <w:szCs w:val="32"/>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2"/>
        <w:szCs w:val="24"/>
      </w:rPr>
    </w:lvl>
    <w:lvl w:ilvl="3">
      <w:start w:val="1"/>
      <w:numFmt w:val="decimal"/>
      <w:lvlText w:val="%1.%2.%3.%4"/>
      <w:lvlJc w:val="left"/>
      <w:pPr>
        <w:tabs>
          <w:tab w:val="num" w:pos="1134"/>
        </w:tabs>
        <w:ind w:left="1134" w:hanging="1134"/>
      </w:pPr>
      <w:rPr>
        <w:rFonts w:ascii="Arial" w:hAnsi="Arial" w:hint="default"/>
        <w:b w:val="0"/>
        <w:i w:val="0"/>
        <w:sz w:val="22"/>
        <w:szCs w:val="22"/>
      </w:rPr>
    </w:lvl>
    <w:lvl w:ilvl="4">
      <w:start w:val="1"/>
      <w:numFmt w:val="decimal"/>
      <w:lvlText w:val="%1.%2.%3.%4.%5"/>
      <w:lvlJc w:val="left"/>
      <w:pPr>
        <w:tabs>
          <w:tab w:val="num" w:pos="1134"/>
        </w:tabs>
        <w:ind w:left="1134" w:hanging="1134"/>
      </w:pPr>
      <w:rPr>
        <w:rFonts w:ascii="Arial" w:hAnsi="Arial" w:hint="default"/>
        <w:b w:val="0"/>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23" w15:restartNumberingAfterBreak="0">
    <w:nsid w:val="6BC8333C"/>
    <w:multiLevelType w:val="multilevel"/>
    <w:tmpl w:val="974CC234"/>
    <w:lvl w:ilvl="0">
      <w:start w:val="1"/>
      <w:numFmt w:val="decimal"/>
      <w:lvlText w:val="%1"/>
      <w:lvlJc w:val="left"/>
      <w:pPr>
        <w:tabs>
          <w:tab w:val="num" w:pos="1134"/>
        </w:tabs>
        <w:ind w:left="1134" w:hanging="1134"/>
      </w:pPr>
      <w:rPr>
        <w:rFonts w:ascii="Arial" w:hAnsi="Arial" w:hint="default"/>
        <w:b/>
        <w:i w:val="0"/>
        <w:sz w:val="26"/>
        <w:szCs w:val="26"/>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2"/>
        <w:szCs w:val="24"/>
      </w:rPr>
    </w:lvl>
    <w:lvl w:ilvl="3">
      <w:start w:val="1"/>
      <w:numFmt w:val="decimal"/>
      <w:lvlText w:val="%1.%2.%3.%4"/>
      <w:lvlJc w:val="left"/>
      <w:pPr>
        <w:tabs>
          <w:tab w:val="num" w:pos="1134"/>
        </w:tabs>
        <w:ind w:left="1134" w:hanging="1134"/>
      </w:pPr>
      <w:rPr>
        <w:rFonts w:ascii="Arial" w:hAnsi="Arial" w:hint="default"/>
        <w:b w:val="0"/>
        <w:i w:val="0"/>
        <w:sz w:val="22"/>
        <w:szCs w:val="22"/>
      </w:rPr>
    </w:lvl>
    <w:lvl w:ilvl="4">
      <w:start w:val="1"/>
      <w:numFmt w:val="decimal"/>
      <w:lvlText w:val="%1.%2.%3.%4.%5"/>
      <w:lvlJc w:val="left"/>
      <w:pPr>
        <w:tabs>
          <w:tab w:val="num" w:pos="1134"/>
        </w:tabs>
        <w:ind w:left="1134" w:hanging="1134"/>
      </w:pPr>
      <w:rPr>
        <w:rFonts w:ascii="Arial" w:hAnsi="Arial" w:hint="default"/>
        <w:b w:val="0"/>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24" w15:restartNumberingAfterBreak="0">
    <w:nsid w:val="6F3B6C96"/>
    <w:multiLevelType w:val="hybridMultilevel"/>
    <w:tmpl w:val="217A89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F9A38BA"/>
    <w:multiLevelType w:val="multilevel"/>
    <w:tmpl w:val="FEC21C76"/>
    <w:lvl w:ilvl="0">
      <w:start w:val="1"/>
      <w:numFmt w:val="decimal"/>
      <w:lvlText w:val="%1"/>
      <w:lvlJc w:val="left"/>
      <w:pPr>
        <w:tabs>
          <w:tab w:val="num" w:pos="1134"/>
        </w:tabs>
        <w:ind w:left="1134" w:hanging="1134"/>
      </w:pPr>
      <w:rPr>
        <w:rFonts w:ascii="Arial" w:hAnsi="Arial" w:hint="default"/>
        <w:b/>
        <w:i w:val="0"/>
        <w:sz w:val="28"/>
        <w:szCs w:val="32"/>
      </w:rPr>
    </w:lvl>
    <w:lvl w:ilvl="1">
      <w:start w:val="1"/>
      <w:numFmt w:val="decimal"/>
      <w:lvlText w:val="%1.%2"/>
      <w:lvlJc w:val="left"/>
      <w:pPr>
        <w:tabs>
          <w:tab w:val="num" w:pos="1134"/>
        </w:tabs>
        <w:ind w:left="1134" w:hanging="1134"/>
      </w:pPr>
      <w:rPr>
        <w:rFonts w:ascii="Arial" w:hAnsi="Arial" w:hint="default"/>
        <w:b/>
        <w:i w:val="0"/>
        <w:sz w:val="24"/>
        <w:szCs w:val="28"/>
      </w:rPr>
    </w:lvl>
    <w:lvl w:ilvl="2">
      <w:start w:val="1"/>
      <w:numFmt w:val="decimal"/>
      <w:lvlText w:val="%1.%2.%3"/>
      <w:lvlJc w:val="left"/>
      <w:pPr>
        <w:tabs>
          <w:tab w:val="num" w:pos="1134"/>
        </w:tabs>
        <w:ind w:left="1134" w:hanging="1134"/>
      </w:pPr>
      <w:rPr>
        <w:rFonts w:ascii="Arial" w:hAnsi="Arial" w:hint="default"/>
        <w:b/>
        <w:i w:val="0"/>
        <w:sz w:val="22"/>
        <w:szCs w:val="24"/>
      </w:rPr>
    </w:lvl>
    <w:lvl w:ilvl="3">
      <w:start w:val="1"/>
      <w:numFmt w:val="decimal"/>
      <w:lvlText w:val="%1.%2.%3.%4"/>
      <w:lvlJc w:val="left"/>
      <w:pPr>
        <w:tabs>
          <w:tab w:val="num" w:pos="1134"/>
        </w:tabs>
        <w:ind w:left="1134" w:hanging="1134"/>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num w:numId="1">
    <w:abstractNumId w:val="9"/>
  </w:num>
  <w:num w:numId="2">
    <w:abstractNumId w:val="10"/>
  </w:num>
  <w:num w:numId="3">
    <w:abstractNumId w:val="17"/>
  </w:num>
  <w:num w:numId="4">
    <w:abstractNumId w:val="12"/>
  </w:num>
  <w:num w:numId="5">
    <w:abstractNumId w:val="19"/>
  </w:num>
  <w:num w:numId="6">
    <w:abstractNumId w:val="18"/>
  </w:num>
  <w:num w:numId="7">
    <w:abstractNumId w:val="1"/>
  </w:num>
  <w:num w:numId="8">
    <w:abstractNumId w:val="16"/>
  </w:num>
  <w:num w:numId="9">
    <w:abstractNumId w:val="0"/>
  </w:num>
  <w:num w:numId="10">
    <w:abstractNumId w:val="7"/>
  </w:num>
  <w:num w:numId="11">
    <w:abstractNumId w:val="21"/>
  </w:num>
  <w:num w:numId="12">
    <w:abstractNumId w:val="0"/>
  </w:num>
  <w:num w:numId="13">
    <w:abstractNumId w:val="9"/>
  </w:num>
  <w:num w:numId="14">
    <w:abstractNumId w:val="10"/>
  </w:num>
  <w:num w:numId="15">
    <w:abstractNumId w:val="17"/>
  </w:num>
  <w:num w:numId="16">
    <w:abstractNumId w:val="12"/>
  </w:num>
  <w:num w:numId="17">
    <w:abstractNumId w:val="19"/>
  </w:num>
  <w:num w:numId="18">
    <w:abstractNumId w:val="16"/>
  </w:num>
  <w:num w:numId="19">
    <w:abstractNumId w:val="18"/>
  </w:num>
  <w:num w:numId="20">
    <w:abstractNumId w:val="1"/>
  </w:num>
  <w:num w:numId="21">
    <w:abstractNumId w:val="16"/>
  </w:num>
  <w:num w:numId="22">
    <w:abstractNumId w:val="0"/>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21"/>
  </w:num>
  <w:num w:numId="33">
    <w:abstractNumId w:val="8"/>
  </w:num>
  <w:num w:numId="34">
    <w:abstractNumId w:val="6"/>
  </w:num>
  <w:num w:numId="35">
    <w:abstractNumId w:val="3"/>
  </w:num>
  <w:num w:numId="36">
    <w:abstractNumId w:val="25"/>
  </w:num>
  <w:num w:numId="37">
    <w:abstractNumId w:val="15"/>
  </w:num>
  <w:num w:numId="38">
    <w:abstractNumId w:val="22"/>
  </w:num>
  <w:num w:numId="39">
    <w:abstractNumId w:val="20"/>
  </w:num>
  <w:num w:numId="40">
    <w:abstractNumId w:val="2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4"/>
  </w:num>
  <w:num w:numId="44">
    <w:abstractNumId w:val="4"/>
  </w:num>
  <w:num w:numId="45">
    <w:abstractNumId w:val="11"/>
  </w:num>
  <w:num w:numId="46">
    <w:abstractNumId w:val="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Amt"/>
    <w:docVar w:name="Amtkurz" w:val="Amtkurz"/>
    <w:docVar w:name="Dept" w:val="Dept"/>
    <w:docVar w:name="Deptkurz" w:val="Deptkurz"/>
    <w:docVar w:name="FussAdr" w:val="FussAdr"/>
    <w:docVar w:name="OrgEinheit" w:val="OrgEinheit"/>
    <w:docVar w:name="Unterschrift" w:val="Unterschrift"/>
  </w:docVars>
  <w:rsids>
    <w:rsidRoot w:val="00D02E29"/>
    <w:rsid w:val="000303D8"/>
    <w:rsid w:val="00076036"/>
    <w:rsid w:val="000B71CF"/>
    <w:rsid w:val="000D1913"/>
    <w:rsid w:val="000D7D19"/>
    <w:rsid w:val="0011428C"/>
    <w:rsid w:val="001246F1"/>
    <w:rsid w:val="00124886"/>
    <w:rsid w:val="00153AF0"/>
    <w:rsid w:val="00171600"/>
    <w:rsid w:val="00196E9A"/>
    <w:rsid w:val="001A7BB8"/>
    <w:rsid w:val="001C038A"/>
    <w:rsid w:val="00273124"/>
    <w:rsid w:val="002C4849"/>
    <w:rsid w:val="002C5475"/>
    <w:rsid w:val="002D1BE9"/>
    <w:rsid w:val="002D5C0E"/>
    <w:rsid w:val="002D5C51"/>
    <w:rsid w:val="00321E5A"/>
    <w:rsid w:val="00330E12"/>
    <w:rsid w:val="00347C41"/>
    <w:rsid w:val="003C4938"/>
    <w:rsid w:val="004104E6"/>
    <w:rsid w:val="00416BF8"/>
    <w:rsid w:val="00483565"/>
    <w:rsid w:val="004A0058"/>
    <w:rsid w:val="004D30D8"/>
    <w:rsid w:val="005544A1"/>
    <w:rsid w:val="00555726"/>
    <w:rsid w:val="0059200A"/>
    <w:rsid w:val="00595D4E"/>
    <w:rsid w:val="005C025F"/>
    <w:rsid w:val="005C6F3F"/>
    <w:rsid w:val="006353ED"/>
    <w:rsid w:val="00637DE5"/>
    <w:rsid w:val="0067239E"/>
    <w:rsid w:val="006729BF"/>
    <w:rsid w:val="00681188"/>
    <w:rsid w:val="00682446"/>
    <w:rsid w:val="00684567"/>
    <w:rsid w:val="00686684"/>
    <w:rsid w:val="006B1F28"/>
    <w:rsid w:val="006B3C7D"/>
    <w:rsid w:val="006C09BE"/>
    <w:rsid w:val="00715168"/>
    <w:rsid w:val="0073564B"/>
    <w:rsid w:val="007762FA"/>
    <w:rsid w:val="00776526"/>
    <w:rsid w:val="007814AC"/>
    <w:rsid w:val="007B7794"/>
    <w:rsid w:val="00843D74"/>
    <w:rsid w:val="00881F87"/>
    <w:rsid w:val="008C52EF"/>
    <w:rsid w:val="008D5A58"/>
    <w:rsid w:val="00931C53"/>
    <w:rsid w:val="00987D41"/>
    <w:rsid w:val="0099367C"/>
    <w:rsid w:val="009961A4"/>
    <w:rsid w:val="009971A3"/>
    <w:rsid w:val="009A1915"/>
    <w:rsid w:val="009B5AC1"/>
    <w:rsid w:val="00A22049"/>
    <w:rsid w:val="00A25DD0"/>
    <w:rsid w:val="00A26D09"/>
    <w:rsid w:val="00A6104A"/>
    <w:rsid w:val="00B260F5"/>
    <w:rsid w:val="00B32E04"/>
    <w:rsid w:val="00B5490C"/>
    <w:rsid w:val="00BD7312"/>
    <w:rsid w:val="00C007DA"/>
    <w:rsid w:val="00C51AE5"/>
    <w:rsid w:val="00C9241A"/>
    <w:rsid w:val="00C96A10"/>
    <w:rsid w:val="00CA1C30"/>
    <w:rsid w:val="00CA6BA8"/>
    <w:rsid w:val="00CC2262"/>
    <w:rsid w:val="00CC7C7F"/>
    <w:rsid w:val="00CE16AE"/>
    <w:rsid w:val="00D02ACF"/>
    <w:rsid w:val="00D02E29"/>
    <w:rsid w:val="00D15008"/>
    <w:rsid w:val="00D25178"/>
    <w:rsid w:val="00D868B3"/>
    <w:rsid w:val="00DC48D5"/>
    <w:rsid w:val="00DD2FA8"/>
    <w:rsid w:val="00E273D6"/>
    <w:rsid w:val="00E770A7"/>
    <w:rsid w:val="00EA4FC2"/>
    <w:rsid w:val="00EC0E27"/>
    <w:rsid w:val="00ED145B"/>
    <w:rsid w:val="00F03218"/>
    <w:rsid w:val="00F06CB7"/>
    <w:rsid w:val="00F14667"/>
    <w:rsid w:val="00F1652E"/>
    <w:rsid w:val="00F831AD"/>
    <w:rsid w:val="00F97097"/>
    <w:rsid w:val="00FC49D6"/>
    <w:rsid w:val="00FD5863"/>
    <w:rsid w:val="00FF56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62BD9"/>
  <w15:docId w15:val="{59C78404-BFC3-4E87-8C12-BAB53F64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E29"/>
    <w:pPr>
      <w:spacing w:line="260" w:lineRule="atLeast"/>
    </w:pPr>
    <w:rPr>
      <w:rFonts w:ascii="Arial" w:hAnsi="Arial"/>
    </w:rPr>
  </w:style>
  <w:style w:type="paragraph" w:styleId="berschrift1">
    <w:name w:val="heading 1"/>
    <w:basedOn w:val="Standard"/>
    <w:next w:val="TextCDB"/>
    <w:link w:val="berschrift1Zchn"/>
    <w:qFormat/>
    <w:rsid w:val="009B5AC1"/>
    <w:pPr>
      <w:keepNext/>
      <w:tabs>
        <w:tab w:val="left" w:pos="851"/>
      </w:tabs>
      <w:spacing w:before="720" w:after="240"/>
      <w:outlineLvl w:val="0"/>
    </w:pPr>
    <w:rPr>
      <w:rFonts w:cs="Arial"/>
      <w:b/>
      <w:bCs/>
      <w:kern w:val="28"/>
      <w:sz w:val="36"/>
      <w:szCs w:val="32"/>
    </w:rPr>
  </w:style>
  <w:style w:type="paragraph" w:styleId="berschrift2">
    <w:name w:val="heading 2"/>
    <w:basedOn w:val="berschrift1"/>
    <w:next w:val="TextCDB"/>
    <w:qFormat/>
    <w:rsid w:val="009B5AC1"/>
    <w:pPr>
      <w:spacing w:before="480" w:after="120"/>
      <w:outlineLvl w:val="1"/>
    </w:pPr>
    <w:rPr>
      <w:bCs w:val="0"/>
      <w:kern w:val="0"/>
      <w:sz w:val="32"/>
      <w:szCs w:val="28"/>
      <w:lang w:eastAsia="de-DE"/>
    </w:rPr>
  </w:style>
  <w:style w:type="paragraph" w:styleId="berschrift3">
    <w:name w:val="heading 3"/>
    <w:basedOn w:val="berschrift1"/>
    <w:next w:val="TextCDB"/>
    <w:qFormat/>
    <w:rsid w:val="009B5AC1"/>
    <w:pPr>
      <w:spacing w:before="480" w:after="120"/>
      <w:outlineLvl w:val="2"/>
    </w:pPr>
    <w:rPr>
      <w:bCs w:val="0"/>
      <w:kern w:val="0"/>
      <w:sz w:val="28"/>
      <w:szCs w:val="24"/>
      <w:lang w:eastAsia="de-DE"/>
    </w:rPr>
  </w:style>
  <w:style w:type="paragraph" w:styleId="berschrift4">
    <w:name w:val="heading 4"/>
    <w:basedOn w:val="berschrift1"/>
    <w:next w:val="TextCDB"/>
    <w:qFormat/>
    <w:rsid w:val="009B5AC1"/>
    <w:pPr>
      <w:spacing w:before="360" w:after="120"/>
      <w:outlineLvl w:val="3"/>
    </w:pPr>
    <w:rPr>
      <w:bCs w:val="0"/>
      <w:kern w:val="0"/>
      <w:sz w:val="24"/>
      <w:szCs w:val="22"/>
      <w:lang w:eastAsia="de-DE"/>
    </w:rPr>
  </w:style>
  <w:style w:type="paragraph" w:styleId="berschrift5">
    <w:name w:val="heading 5"/>
    <w:basedOn w:val="berschrift1"/>
    <w:next w:val="TextCDB"/>
    <w:qFormat/>
    <w:rsid w:val="009B5AC1"/>
    <w:pPr>
      <w:tabs>
        <w:tab w:val="clear" w:pos="851"/>
      </w:tabs>
      <w:spacing w:before="240" w:after="120"/>
      <w:outlineLvl w:val="4"/>
    </w:pPr>
    <w:rPr>
      <w:b w:val="0"/>
      <w:bCs w:val="0"/>
      <w:iCs/>
      <w:kern w:val="0"/>
      <w:sz w:val="22"/>
      <w:szCs w:val="22"/>
      <w:lang w:eastAsia="de-DE"/>
    </w:rPr>
  </w:style>
  <w:style w:type="paragraph" w:styleId="berschrift6">
    <w:name w:val="heading 6"/>
    <w:basedOn w:val="berschrift1"/>
    <w:next w:val="TextCDB"/>
    <w:qFormat/>
    <w:rsid w:val="009B5AC1"/>
    <w:pPr>
      <w:numPr>
        <w:ilvl w:val="5"/>
        <w:numId w:val="31"/>
      </w:numPr>
      <w:tabs>
        <w:tab w:val="clear" w:pos="851"/>
      </w:tabs>
      <w:spacing w:before="240" w:after="120"/>
      <w:outlineLvl w:val="5"/>
    </w:pPr>
    <w:rPr>
      <w:b w:val="0"/>
      <w:bCs w:val="0"/>
      <w:sz w:val="22"/>
      <w:szCs w:val="22"/>
    </w:rPr>
  </w:style>
  <w:style w:type="paragraph" w:styleId="berschrift7">
    <w:name w:val="heading 7"/>
    <w:basedOn w:val="berschrift1"/>
    <w:next w:val="TextCDB"/>
    <w:qFormat/>
    <w:rsid w:val="009B5AC1"/>
    <w:pPr>
      <w:numPr>
        <w:ilvl w:val="6"/>
        <w:numId w:val="31"/>
      </w:numPr>
      <w:tabs>
        <w:tab w:val="clear" w:pos="851"/>
      </w:tabs>
      <w:spacing w:before="240" w:after="120"/>
      <w:outlineLvl w:val="6"/>
    </w:pPr>
    <w:rPr>
      <w:b w:val="0"/>
      <w:sz w:val="22"/>
      <w:szCs w:val="22"/>
    </w:rPr>
  </w:style>
  <w:style w:type="paragraph" w:styleId="berschrift8">
    <w:name w:val="heading 8"/>
    <w:basedOn w:val="berschrift1"/>
    <w:next w:val="TextCDB"/>
    <w:qFormat/>
    <w:rsid w:val="009B5AC1"/>
    <w:pPr>
      <w:numPr>
        <w:ilvl w:val="7"/>
        <w:numId w:val="31"/>
      </w:numPr>
      <w:tabs>
        <w:tab w:val="clear" w:pos="851"/>
      </w:tabs>
      <w:spacing w:before="240" w:after="120"/>
      <w:outlineLvl w:val="7"/>
    </w:pPr>
    <w:rPr>
      <w:b w:val="0"/>
      <w:iCs/>
      <w:sz w:val="22"/>
      <w:szCs w:val="22"/>
    </w:rPr>
  </w:style>
  <w:style w:type="paragraph" w:styleId="berschrift9">
    <w:name w:val="heading 9"/>
    <w:basedOn w:val="berschrift1"/>
    <w:next w:val="TextCDB"/>
    <w:qFormat/>
    <w:rsid w:val="009B5AC1"/>
    <w:pPr>
      <w:numPr>
        <w:ilvl w:val="8"/>
        <w:numId w:val="31"/>
      </w:numPr>
      <w:tabs>
        <w:tab w:val="clear" w:pos="851"/>
      </w:tabs>
      <w:spacing w:before="240" w:after="120"/>
      <w:outlineLvl w:val="8"/>
    </w:pPr>
    <w:rPr>
      <w:b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CDB">
    <w:name w:val="Text_CDB"/>
    <w:basedOn w:val="Standard"/>
    <w:rsid w:val="009B5AC1"/>
  </w:style>
  <w:style w:type="paragraph" w:styleId="Kopfzeile">
    <w:name w:val="header"/>
    <w:basedOn w:val="TextCDB"/>
    <w:rsid w:val="009B5AC1"/>
    <w:pPr>
      <w:suppressAutoHyphens/>
      <w:spacing w:line="200" w:lineRule="exact"/>
    </w:pPr>
    <w:rPr>
      <w:sz w:val="15"/>
    </w:rPr>
  </w:style>
  <w:style w:type="paragraph" w:styleId="Fuzeile">
    <w:name w:val="footer"/>
    <w:rsid w:val="009B5AC1"/>
    <w:pPr>
      <w:spacing w:line="200" w:lineRule="atLeast"/>
    </w:pPr>
    <w:rPr>
      <w:rFonts w:ascii="Arial" w:hAnsi="Arial"/>
      <w:sz w:val="15"/>
      <w:szCs w:val="18"/>
      <w:lang w:eastAsia="de-DE"/>
    </w:rPr>
  </w:style>
  <w:style w:type="paragraph" w:styleId="Titel">
    <w:name w:val="Title"/>
    <w:basedOn w:val="Standard"/>
    <w:next w:val="TextCDB"/>
    <w:qFormat/>
    <w:rsid w:val="009B5AC1"/>
    <w:pPr>
      <w:spacing w:after="480" w:line="480" w:lineRule="exact"/>
    </w:pPr>
    <w:rPr>
      <w:rFonts w:cs="Arial"/>
      <w:b/>
      <w:bCs/>
      <w:kern w:val="28"/>
      <w:sz w:val="42"/>
      <w:szCs w:val="40"/>
    </w:rPr>
  </w:style>
  <w:style w:type="paragraph" w:customStyle="1" w:styleId="ZAbsenderinformationCDB">
    <w:name w:val="Z_Absenderinformation_CDB"/>
    <w:rsid w:val="009B5AC1"/>
    <w:pPr>
      <w:widowControl w:val="0"/>
      <w:suppressAutoHyphens/>
      <w:spacing w:line="200" w:lineRule="exact"/>
    </w:pPr>
    <w:rPr>
      <w:rFonts w:ascii="Arial" w:hAnsi="Arial"/>
      <w:sz w:val="15"/>
      <w:szCs w:val="15"/>
      <w:lang w:eastAsia="de-DE"/>
    </w:rPr>
  </w:style>
  <w:style w:type="paragraph" w:customStyle="1" w:styleId="ZAdressatCDB">
    <w:name w:val="Z_Adressat_CDB"/>
    <w:basedOn w:val="Standard"/>
    <w:rsid w:val="009B5AC1"/>
    <w:pPr>
      <w:spacing w:line="240" w:lineRule="atLeast"/>
    </w:pPr>
  </w:style>
  <w:style w:type="paragraph" w:customStyle="1" w:styleId="ZBeilageCDB">
    <w:name w:val="Z_Beilage_CDB"/>
    <w:basedOn w:val="Standard"/>
    <w:rsid w:val="009B5AC1"/>
    <w:pPr>
      <w:tabs>
        <w:tab w:val="left" w:pos="284"/>
        <w:tab w:val="left" w:pos="7371"/>
      </w:tabs>
      <w:spacing w:line="240" w:lineRule="atLeast"/>
      <w:ind w:left="284" w:hanging="284"/>
    </w:pPr>
  </w:style>
  <w:style w:type="paragraph" w:customStyle="1" w:styleId="ZBeilagenCDB">
    <w:name w:val="Z_Beilagen_CDB"/>
    <w:basedOn w:val="Standard"/>
    <w:rsid w:val="009B5AC1"/>
    <w:pPr>
      <w:spacing w:before="480" w:line="240" w:lineRule="atLeast"/>
    </w:pPr>
  </w:style>
  <w:style w:type="paragraph" w:customStyle="1" w:styleId="ZBetreffCDB">
    <w:name w:val="Z_Betreff_CDB"/>
    <w:basedOn w:val="Standard"/>
    <w:next w:val="TextCDB"/>
    <w:rsid w:val="009B5AC1"/>
    <w:pPr>
      <w:spacing w:before="240" w:line="240" w:lineRule="atLeast"/>
    </w:pPr>
    <w:rPr>
      <w:b/>
    </w:rPr>
  </w:style>
  <w:style w:type="paragraph" w:customStyle="1" w:styleId="ZGrussformelCDB">
    <w:name w:val="Z_Grussformel_CDB"/>
    <w:basedOn w:val="TextCDB"/>
    <w:rsid w:val="009B5AC1"/>
    <w:pPr>
      <w:spacing w:before="240" w:line="240" w:lineRule="atLeast"/>
    </w:pPr>
  </w:style>
  <w:style w:type="paragraph" w:customStyle="1" w:styleId="ZHierarchieCDB">
    <w:name w:val="Z_Hierarchie_CDB"/>
    <w:rsid w:val="009B5AC1"/>
    <w:pPr>
      <w:widowControl w:val="0"/>
      <w:suppressAutoHyphens/>
      <w:spacing w:line="200" w:lineRule="exact"/>
    </w:pPr>
    <w:rPr>
      <w:rFonts w:ascii="Arial" w:hAnsi="Arial"/>
      <w:sz w:val="15"/>
      <w:szCs w:val="15"/>
      <w:lang w:eastAsia="de-DE"/>
    </w:rPr>
  </w:style>
  <w:style w:type="paragraph" w:customStyle="1" w:styleId="ZKopfDeptCDB">
    <w:name w:val="Z_KopfDept_CDB"/>
    <w:next w:val="ZKopfFettCDB"/>
    <w:rsid w:val="009B5AC1"/>
    <w:pPr>
      <w:widowControl w:val="0"/>
      <w:suppressAutoHyphens/>
      <w:spacing w:after="100" w:line="200" w:lineRule="exact"/>
      <w:contextualSpacing/>
    </w:pPr>
    <w:rPr>
      <w:rFonts w:ascii="Arial" w:hAnsi="Arial"/>
      <w:sz w:val="15"/>
      <w:szCs w:val="15"/>
      <w:lang w:eastAsia="de-DE"/>
    </w:rPr>
  </w:style>
  <w:style w:type="paragraph" w:customStyle="1" w:styleId="ZKopfFettCDB">
    <w:name w:val="Z_KopfFett_CDB"/>
    <w:next w:val="ZHierarchieCDB"/>
    <w:rsid w:val="009B5AC1"/>
    <w:pPr>
      <w:widowControl w:val="0"/>
      <w:suppressAutoHyphens/>
      <w:spacing w:line="200" w:lineRule="exact"/>
    </w:pPr>
    <w:rPr>
      <w:rFonts w:ascii="Arial" w:hAnsi="Arial"/>
      <w:b/>
      <w:sz w:val="15"/>
      <w:szCs w:val="22"/>
      <w:lang w:eastAsia="de-DE"/>
    </w:rPr>
  </w:style>
  <w:style w:type="paragraph" w:customStyle="1" w:styleId="ZLogoCDB">
    <w:name w:val="Z_Logo_CDB"/>
    <w:rsid w:val="009B5AC1"/>
    <w:rPr>
      <w:rFonts w:ascii="Arial" w:hAnsi="Arial"/>
      <w:sz w:val="15"/>
      <w:szCs w:val="15"/>
      <w:lang w:eastAsia="de-DE"/>
    </w:rPr>
  </w:style>
  <w:style w:type="paragraph" w:customStyle="1" w:styleId="ZReferenzCDB">
    <w:name w:val="Z_Referenz_CDB"/>
    <w:rsid w:val="009B5AC1"/>
    <w:pPr>
      <w:spacing w:line="200" w:lineRule="exact"/>
    </w:pPr>
    <w:rPr>
      <w:rFonts w:ascii="Arial" w:hAnsi="Arial"/>
      <w:sz w:val="15"/>
      <w:szCs w:val="15"/>
      <w:lang w:eastAsia="de-DE"/>
    </w:rPr>
  </w:style>
  <w:style w:type="paragraph" w:customStyle="1" w:styleId="ZDatumCDB">
    <w:name w:val="Z_Datum_CDB"/>
    <w:basedOn w:val="Standard"/>
    <w:next w:val="Standard"/>
    <w:rsid w:val="009B5AC1"/>
    <w:pPr>
      <w:spacing w:line="240" w:lineRule="atLeast"/>
    </w:pPr>
  </w:style>
  <w:style w:type="paragraph" w:customStyle="1" w:styleId="ZPfadCDB">
    <w:name w:val="Z_Pfad_CDB"/>
    <w:rsid w:val="009B5AC1"/>
    <w:pPr>
      <w:spacing w:line="160" w:lineRule="exact"/>
    </w:pPr>
    <w:rPr>
      <w:rFonts w:ascii="Arial" w:hAnsi="Arial"/>
      <w:sz w:val="12"/>
      <w:szCs w:val="12"/>
      <w:lang w:eastAsia="de-DE"/>
    </w:rPr>
  </w:style>
  <w:style w:type="paragraph" w:customStyle="1" w:styleId="ZPlatzhalterCDB">
    <w:name w:val="Z_Platzhalter_CDB"/>
    <w:rsid w:val="009B5AC1"/>
    <w:rPr>
      <w:rFonts w:ascii="Arial" w:hAnsi="Arial"/>
      <w:sz w:val="2"/>
      <w:szCs w:val="2"/>
      <w:lang w:eastAsia="de-DE"/>
    </w:rPr>
  </w:style>
  <w:style w:type="paragraph" w:customStyle="1" w:styleId="ZReferenzPostCDB">
    <w:name w:val="Z_Referenz_Post_CDB"/>
    <w:basedOn w:val="ZReferenzCDB"/>
    <w:rsid w:val="009B5AC1"/>
    <w:pPr>
      <w:spacing w:after="284"/>
    </w:pPr>
    <w:rPr>
      <w:u w:val="single"/>
    </w:rPr>
  </w:style>
  <w:style w:type="paragraph" w:customStyle="1" w:styleId="ZRefKlassifizierungCDB">
    <w:name w:val="Z_Ref_Klassifizierung_CDB"/>
    <w:basedOn w:val="ZReferenzCDB"/>
    <w:rsid w:val="009B5AC1"/>
  </w:style>
  <w:style w:type="paragraph" w:customStyle="1" w:styleId="ZSeiteCDB">
    <w:name w:val="Z_Seite_CDB"/>
    <w:next w:val="Standard"/>
    <w:rsid w:val="009B5AC1"/>
    <w:pPr>
      <w:suppressAutoHyphens/>
      <w:spacing w:line="200" w:lineRule="exact"/>
      <w:jc w:val="right"/>
    </w:pPr>
    <w:rPr>
      <w:rFonts w:ascii="Arial" w:hAnsi="Arial"/>
      <w:sz w:val="14"/>
      <w:szCs w:val="14"/>
    </w:rPr>
  </w:style>
  <w:style w:type="paragraph" w:customStyle="1" w:styleId="Abstand12ptCDB">
    <w:name w:val="Abstand 12 pt_CDB"/>
    <w:rsid w:val="009B5AC1"/>
    <w:pPr>
      <w:spacing w:before="240" w:line="20" w:lineRule="exact"/>
    </w:pPr>
    <w:rPr>
      <w:rFonts w:ascii="Arial" w:hAnsi="Arial"/>
      <w:color w:val="0033CC"/>
      <w:sz w:val="24"/>
      <w:szCs w:val="22"/>
      <w:lang w:eastAsia="de-DE"/>
    </w:rPr>
  </w:style>
  <w:style w:type="paragraph" w:customStyle="1" w:styleId="ZUnterschriftFunktionCDB">
    <w:name w:val="Z_Unterschrift_Funktion_CDB"/>
    <w:basedOn w:val="TextCDB"/>
    <w:next w:val="ZBeilagenCDB"/>
    <w:rsid w:val="009B5AC1"/>
    <w:pPr>
      <w:spacing w:line="240" w:lineRule="atLeast"/>
    </w:pPr>
  </w:style>
  <w:style w:type="paragraph" w:customStyle="1" w:styleId="ZUnterschriftPersonCDB">
    <w:name w:val="Z_Unterschrift_Person_CDB"/>
    <w:basedOn w:val="TextCDB"/>
    <w:next w:val="ZUnterschriftFunktionCDB"/>
    <w:rsid w:val="009B5AC1"/>
    <w:pPr>
      <w:spacing w:before="720" w:line="240" w:lineRule="atLeast"/>
    </w:pPr>
  </w:style>
  <w:style w:type="paragraph" w:customStyle="1" w:styleId="Abstand18ptCDB">
    <w:name w:val="Abstand 18 pt_CDB"/>
    <w:rsid w:val="009B5AC1"/>
    <w:pPr>
      <w:overflowPunct w:val="0"/>
      <w:autoSpaceDE w:val="0"/>
      <w:autoSpaceDN w:val="0"/>
      <w:adjustRightInd w:val="0"/>
      <w:spacing w:before="360" w:line="20" w:lineRule="exact"/>
      <w:textAlignment w:val="baseline"/>
    </w:pPr>
    <w:rPr>
      <w:rFonts w:ascii="Arial" w:hAnsi="Arial"/>
      <w:noProof/>
      <w:color w:val="000099"/>
      <w:sz w:val="36"/>
      <w:lang w:eastAsia="de-DE"/>
    </w:rPr>
  </w:style>
  <w:style w:type="paragraph" w:customStyle="1" w:styleId="ZTitelCDB">
    <w:name w:val="Z_Titel_CDB"/>
    <w:basedOn w:val="Titel"/>
    <w:next w:val="TextCDB"/>
    <w:rsid w:val="009B5AC1"/>
    <w:pPr>
      <w:spacing w:before="240" w:after="240"/>
    </w:pPr>
  </w:style>
  <w:style w:type="paragraph" w:customStyle="1" w:styleId="Abstand6ptCDB">
    <w:name w:val="Abstand 6 pt_CDB"/>
    <w:rsid w:val="009B5AC1"/>
    <w:pPr>
      <w:spacing w:before="120" w:line="20" w:lineRule="exact"/>
    </w:pPr>
    <w:rPr>
      <w:rFonts w:ascii="Arial" w:hAnsi="Arial"/>
      <w:noProof/>
      <w:color w:val="0066FF"/>
      <w:sz w:val="16"/>
      <w:lang w:eastAsia="de-DE"/>
    </w:rPr>
  </w:style>
  <w:style w:type="paragraph" w:customStyle="1" w:styleId="Aufzhlung1CDB">
    <w:name w:val="Aufzählung 1_CDB"/>
    <w:basedOn w:val="Standard"/>
    <w:rsid w:val="009B5AC1"/>
    <w:pPr>
      <w:numPr>
        <w:numId w:val="22"/>
      </w:numPr>
      <w:tabs>
        <w:tab w:val="left" w:pos="284"/>
      </w:tabs>
      <w:spacing w:after="120"/>
    </w:pPr>
  </w:style>
  <w:style w:type="paragraph" w:customStyle="1" w:styleId="Aufzhlung2CDB">
    <w:name w:val="Aufzählung 2_CDB"/>
    <w:basedOn w:val="Standard"/>
    <w:rsid w:val="009B5AC1"/>
    <w:pPr>
      <w:numPr>
        <w:numId w:val="13"/>
      </w:numPr>
      <w:spacing w:before="120"/>
    </w:pPr>
  </w:style>
  <w:style w:type="paragraph" w:customStyle="1" w:styleId="Aufzhlung3CDB">
    <w:name w:val="Aufzählung 3_CDB"/>
    <w:basedOn w:val="Standard"/>
    <w:rsid w:val="009B5AC1"/>
    <w:pPr>
      <w:numPr>
        <w:numId w:val="14"/>
      </w:numPr>
      <w:spacing w:before="120"/>
    </w:pPr>
  </w:style>
  <w:style w:type="paragraph" w:customStyle="1" w:styleId="Aufzhlunga1CDB">
    <w:name w:val="Aufzählung a1_CDB"/>
    <w:basedOn w:val="Standard"/>
    <w:rsid w:val="009B5AC1"/>
    <w:pPr>
      <w:numPr>
        <w:numId w:val="15"/>
      </w:numPr>
      <w:spacing w:before="120"/>
    </w:pPr>
  </w:style>
  <w:style w:type="paragraph" w:customStyle="1" w:styleId="Aufzhlunga2CDB">
    <w:name w:val="Aufzählung a2_CDB"/>
    <w:basedOn w:val="Standard"/>
    <w:rsid w:val="009B5AC1"/>
    <w:pPr>
      <w:numPr>
        <w:numId w:val="16"/>
      </w:numPr>
      <w:tabs>
        <w:tab w:val="left" w:pos="284"/>
      </w:tabs>
      <w:spacing w:after="120"/>
    </w:pPr>
  </w:style>
  <w:style w:type="paragraph" w:customStyle="1" w:styleId="Aufzhlunga3CDB">
    <w:name w:val="Aufzählung a3_CDB"/>
    <w:basedOn w:val="Standard"/>
    <w:rsid w:val="009B5AC1"/>
    <w:pPr>
      <w:numPr>
        <w:numId w:val="17"/>
      </w:numPr>
      <w:tabs>
        <w:tab w:val="left" w:pos="567"/>
      </w:tabs>
      <w:spacing w:after="120"/>
    </w:pPr>
  </w:style>
  <w:style w:type="paragraph" w:customStyle="1" w:styleId="AufzhlungNumm1CDB">
    <w:name w:val="Aufzählung Numm 1_CDB"/>
    <w:basedOn w:val="Standard"/>
    <w:rsid w:val="009B5AC1"/>
    <w:pPr>
      <w:numPr>
        <w:numId w:val="21"/>
      </w:numPr>
      <w:tabs>
        <w:tab w:val="left" w:pos="284"/>
      </w:tabs>
      <w:spacing w:after="120"/>
    </w:pPr>
  </w:style>
  <w:style w:type="paragraph" w:customStyle="1" w:styleId="AufzhlungNumm2CDB">
    <w:name w:val="Aufzählung Numm 2_CDB"/>
    <w:basedOn w:val="Standard"/>
    <w:rsid w:val="009B5AC1"/>
    <w:pPr>
      <w:numPr>
        <w:numId w:val="19"/>
      </w:numPr>
      <w:tabs>
        <w:tab w:val="left" w:pos="284"/>
      </w:tabs>
      <w:spacing w:after="120"/>
    </w:pPr>
  </w:style>
  <w:style w:type="paragraph" w:customStyle="1" w:styleId="AufzhlungNumm3CDB">
    <w:name w:val="Aufzählung Numm 3_CDB"/>
    <w:basedOn w:val="Standard"/>
    <w:rsid w:val="009B5AC1"/>
    <w:pPr>
      <w:numPr>
        <w:numId w:val="20"/>
      </w:numPr>
      <w:tabs>
        <w:tab w:val="left" w:pos="567"/>
      </w:tabs>
      <w:spacing w:after="120"/>
    </w:pPr>
  </w:style>
  <w:style w:type="paragraph" w:styleId="Beschriftung">
    <w:name w:val="caption"/>
    <w:basedOn w:val="Standard"/>
    <w:next w:val="TextCDB"/>
    <w:qFormat/>
    <w:rsid w:val="009B5AC1"/>
    <w:pPr>
      <w:spacing w:before="60" w:after="120"/>
    </w:pPr>
    <w:rPr>
      <w:bCs/>
      <w:sz w:val="18"/>
      <w:szCs w:val="18"/>
    </w:rPr>
  </w:style>
  <w:style w:type="paragraph" w:customStyle="1" w:styleId="Einzug1CDB">
    <w:name w:val="Einzug 1_CDB"/>
    <w:basedOn w:val="Standard"/>
    <w:rsid w:val="009B5AC1"/>
    <w:pPr>
      <w:spacing w:after="120"/>
      <w:ind w:left="284"/>
    </w:pPr>
  </w:style>
  <w:style w:type="paragraph" w:customStyle="1" w:styleId="Einzug2CDB">
    <w:name w:val="Einzug 2_CDB"/>
    <w:basedOn w:val="Standard"/>
    <w:rsid w:val="009B5AC1"/>
    <w:pPr>
      <w:spacing w:after="120"/>
      <w:ind w:left="567"/>
    </w:pPr>
  </w:style>
  <w:style w:type="paragraph" w:customStyle="1" w:styleId="Einzug3CDB">
    <w:name w:val="Einzug 3_CDB"/>
    <w:basedOn w:val="Standard"/>
    <w:rsid w:val="009B5AC1"/>
    <w:pPr>
      <w:spacing w:after="120"/>
      <w:ind w:left="851"/>
    </w:pPr>
  </w:style>
  <w:style w:type="paragraph" w:styleId="Funotentext">
    <w:name w:val="footnote text"/>
    <w:rsid w:val="009B5AC1"/>
    <w:pPr>
      <w:spacing w:after="60"/>
      <w:ind w:left="227" w:hanging="227"/>
    </w:pPr>
    <w:rPr>
      <w:rFonts w:ascii="Arial" w:hAnsi="Arial"/>
      <w:sz w:val="18"/>
      <w:szCs w:val="18"/>
      <w:lang w:eastAsia="de-DE"/>
    </w:rPr>
  </w:style>
  <w:style w:type="character" w:styleId="Funotenzeichen">
    <w:name w:val="footnote reference"/>
    <w:rsid w:val="009B5AC1"/>
    <w:rPr>
      <w:rFonts w:ascii="Arial" w:hAnsi="Arial"/>
      <w:dstrike w:val="0"/>
      <w:spacing w:val="0"/>
      <w:kern w:val="0"/>
      <w:position w:val="0"/>
      <w:sz w:val="22"/>
      <w:effect w:val="none"/>
      <w:vertAlign w:val="superscript"/>
      <w:lang w:val="de-CH"/>
    </w:rPr>
  </w:style>
  <w:style w:type="paragraph" w:customStyle="1" w:styleId="InhaltsverzeichnisCDB">
    <w:name w:val="Inhaltsverzeichnis_CDB"/>
    <w:basedOn w:val="Standard"/>
    <w:next w:val="Standard"/>
    <w:rsid w:val="009B5AC1"/>
    <w:pPr>
      <w:spacing w:before="720"/>
    </w:pPr>
    <w:rPr>
      <w:b/>
      <w:sz w:val="36"/>
    </w:rPr>
  </w:style>
  <w:style w:type="character" w:styleId="Seitenzahl">
    <w:name w:val="page number"/>
    <w:rsid w:val="009B5AC1"/>
    <w:rPr>
      <w:rFonts w:ascii="Arial" w:hAnsi="Arial"/>
      <w:kern w:val="0"/>
      <w:sz w:val="15"/>
      <w:szCs w:val="15"/>
    </w:rPr>
  </w:style>
  <w:style w:type="table" w:styleId="Tabellenraster">
    <w:name w:val="Table Grid"/>
    <w:basedOn w:val="NormaleTabelle"/>
    <w:rsid w:val="009B5AC1"/>
    <w:pPr>
      <w:tabs>
        <w:tab w:val="left" w:pos="4253"/>
      </w:tabs>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CDB">
    <w:name w:val="Tabellentext_CDB"/>
    <w:basedOn w:val="Standard"/>
    <w:rsid w:val="009B5AC1"/>
    <w:pPr>
      <w:spacing w:before="40" w:after="80"/>
    </w:pPr>
    <w:rPr>
      <w:szCs w:val="16"/>
    </w:rPr>
  </w:style>
  <w:style w:type="paragraph" w:customStyle="1" w:styleId="TabellentitelCDB">
    <w:name w:val="Tabellentitel_CDB"/>
    <w:basedOn w:val="Standard"/>
    <w:next w:val="TabellentextCDB"/>
    <w:rsid w:val="009B5AC1"/>
    <w:pPr>
      <w:spacing w:before="40" w:after="40"/>
    </w:pPr>
    <w:rPr>
      <w:b/>
    </w:rPr>
  </w:style>
  <w:style w:type="paragraph" w:customStyle="1" w:styleId="TextZwischentitelCDB">
    <w:name w:val="Text_Zwischentitel_CDB"/>
    <w:next w:val="TextCDB"/>
    <w:rsid w:val="009B5AC1"/>
    <w:pPr>
      <w:tabs>
        <w:tab w:val="left" w:pos="425"/>
      </w:tabs>
      <w:spacing w:after="360" w:line="260" w:lineRule="atLeast"/>
      <w:ind w:left="425" w:hanging="425"/>
    </w:pPr>
    <w:rPr>
      <w:rFonts w:ascii="Arial" w:hAnsi="Arial"/>
      <w:b/>
      <w:sz w:val="22"/>
      <w:szCs w:val="22"/>
      <w:lang w:eastAsia="de-DE"/>
    </w:rPr>
  </w:style>
  <w:style w:type="paragraph" w:customStyle="1" w:styleId="berschriftohneNrCDB">
    <w:name w:val="Überschrift_ohne Nr_CDB"/>
    <w:basedOn w:val="Standard"/>
    <w:next w:val="TextCDB"/>
    <w:rsid w:val="009B5AC1"/>
    <w:rPr>
      <w:b/>
      <w:sz w:val="28"/>
      <w:szCs w:val="28"/>
    </w:rPr>
  </w:style>
  <w:style w:type="paragraph" w:styleId="Untertitel">
    <w:name w:val="Subtitle"/>
    <w:basedOn w:val="Standard"/>
    <w:next w:val="TextCDB"/>
    <w:qFormat/>
    <w:rsid w:val="009B5AC1"/>
    <w:pPr>
      <w:spacing w:after="200" w:line="480" w:lineRule="exact"/>
    </w:pPr>
    <w:rPr>
      <w:rFonts w:cs="Arial"/>
      <w:sz w:val="42"/>
      <w:szCs w:val="32"/>
    </w:rPr>
  </w:style>
  <w:style w:type="paragraph" w:styleId="Verzeichnis1">
    <w:name w:val="toc 1"/>
    <w:basedOn w:val="Standard"/>
    <w:next w:val="Verzeichnis2"/>
    <w:rsid w:val="009B5AC1"/>
    <w:pPr>
      <w:tabs>
        <w:tab w:val="right" w:leader="dot" w:pos="9072"/>
      </w:tabs>
      <w:spacing w:before="120" w:line="240" w:lineRule="auto"/>
      <w:ind w:left="425" w:hanging="425"/>
    </w:pPr>
    <w:rPr>
      <w:b/>
    </w:rPr>
  </w:style>
  <w:style w:type="paragraph" w:styleId="Verzeichnis2">
    <w:name w:val="toc 2"/>
    <w:basedOn w:val="Verzeichnis1"/>
    <w:next w:val="Verzeichnis3"/>
    <w:rsid w:val="009B5AC1"/>
    <w:pPr>
      <w:spacing w:before="80"/>
      <w:ind w:left="1276" w:hanging="851"/>
    </w:pPr>
    <w:rPr>
      <w:b w:val="0"/>
    </w:rPr>
  </w:style>
  <w:style w:type="paragraph" w:styleId="Verzeichnis3">
    <w:name w:val="toc 3"/>
    <w:basedOn w:val="Verzeichnis2"/>
    <w:next w:val="Verzeichnis4"/>
    <w:rsid w:val="009B5AC1"/>
    <w:pPr>
      <w:spacing w:before="0"/>
    </w:pPr>
  </w:style>
  <w:style w:type="paragraph" w:styleId="Verzeichnis4">
    <w:name w:val="toc 4"/>
    <w:basedOn w:val="Verzeichnis3"/>
    <w:next w:val="Verzeichnis5"/>
    <w:rsid w:val="009B5AC1"/>
  </w:style>
  <w:style w:type="paragraph" w:styleId="Verzeichnis5">
    <w:name w:val="toc 5"/>
    <w:basedOn w:val="Verzeichnis4"/>
    <w:next w:val="Verzeichnis6"/>
    <w:rsid w:val="009B5AC1"/>
    <w:pPr>
      <w:ind w:left="1559" w:hanging="1134"/>
    </w:pPr>
  </w:style>
  <w:style w:type="paragraph" w:styleId="Verzeichnis6">
    <w:name w:val="toc 6"/>
    <w:basedOn w:val="Verzeichnis5"/>
    <w:next w:val="Verzeichnis7"/>
    <w:rsid w:val="009B5AC1"/>
  </w:style>
  <w:style w:type="paragraph" w:styleId="Verzeichnis7">
    <w:name w:val="toc 7"/>
    <w:basedOn w:val="Verzeichnis6"/>
    <w:next w:val="Verzeichnis8"/>
    <w:rsid w:val="009B5AC1"/>
    <w:pPr>
      <w:ind w:left="1843" w:hanging="1418"/>
    </w:pPr>
  </w:style>
  <w:style w:type="paragraph" w:styleId="Verzeichnis8">
    <w:name w:val="toc 8"/>
    <w:basedOn w:val="Verzeichnis7"/>
    <w:next w:val="Verzeichnis9"/>
    <w:rsid w:val="009B5AC1"/>
    <w:pPr>
      <w:ind w:left="2126" w:hanging="1701"/>
    </w:pPr>
  </w:style>
  <w:style w:type="paragraph" w:styleId="Verzeichnis9">
    <w:name w:val="toc 9"/>
    <w:basedOn w:val="Verzeichnis8"/>
    <w:next w:val="Standard"/>
    <w:rsid w:val="009B5AC1"/>
    <w:pPr>
      <w:ind w:left="2410" w:hanging="1985"/>
    </w:pPr>
  </w:style>
  <w:style w:type="paragraph" w:customStyle="1" w:styleId="ZAdressatfettCDB">
    <w:name w:val="Z_Adressat_fett_CDB"/>
    <w:basedOn w:val="Standard"/>
    <w:next w:val="ZAdressatCDB"/>
    <w:rsid w:val="009B5AC1"/>
    <w:pPr>
      <w:spacing w:line="240" w:lineRule="atLeast"/>
    </w:pPr>
    <w:rPr>
      <w:b/>
    </w:rPr>
  </w:style>
  <w:style w:type="paragraph" w:customStyle="1" w:styleId="ZAdressatPersnlichCDB">
    <w:name w:val="Z_Adressat_Persönlich_CDB"/>
    <w:basedOn w:val="Standard"/>
    <w:next w:val="ZAdressatCDB"/>
    <w:rsid w:val="009B5AC1"/>
    <w:pPr>
      <w:spacing w:line="240" w:lineRule="atLeast"/>
    </w:pPr>
    <w:rPr>
      <w:i/>
    </w:rPr>
  </w:style>
  <w:style w:type="paragraph" w:customStyle="1" w:styleId="ZAnredeCDB">
    <w:name w:val="Z_Anrede_CDB"/>
    <w:basedOn w:val="Standard"/>
    <w:rsid w:val="009B5AC1"/>
    <w:pPr>
      <w:spacing w:before="240" w:after="240" w:line="240" w:lineRule="atLeast"/>
    </w:pPr>
  </w:style>
  <w:style w:type="paragraph" w:customStyle="1" w:styleId="ZAutorCDB">
    <w:name w:val="Z_Autor_CDB"/>
    <w:basedOn w:val="Standard"/>
    <w:rsid w:val="009B5AC1"/>
    <w:pPr>
      <w:spacing w:line="240" w:lineRule="atLeast"/>
    </w:pPr>
    <w:rPr>
      <w:b/>
    </w:rPr>
  </w:style>
  <w:style w:type="paragraph" w:customStyle="1" w:styleId="ZFormFeldCDB">
    <w:name w:val="Z_Form_Feld_CDB"/>
    <w:basedOn w:val="Standard"/>
    <w:rsid w:val="009B5AC1"/>
    <w:rPr>
      <w:sz w:val="15"/>
      <w:szCs w:val="15"/>
    </w:rPr>
  </w:style>
  <w:style w:type="paragraph" w:customStyle="1" w:styleId="ZFormInhaltCDB">
    <w:name w:val="Z_Form_Inhalt_CDB"/>
    <w:basedOn w:val="Standard"/>
    <w:rsid w:val="009B5AC1"/>
  </w:style>
  <w:style w:type="paragraph" w:customStyle="1" w:styleId="ZInstruktionsauswahlCDB">
    <w:name w:val="Z_Instruktionsauswahl_CDB"/>
    <w:basedOn w:val="ZGrussformelCDB"/>
    <w:rsid w:val="009B5AC1"/>
    <w:pPr>
      <w:spacing w:before="0"/>
    </w:pPr>
  </w:style>
  <w:style w:type="paragraph" w:customStyle="1" w:styleId="ZLinie1CDB">
    <w:name w:val="Z_Linie1_CDB"/>
    <w:next w:val="TextCDB"/>
    <w:rsid w:val="009B5AC1"/>
    <w:pPr>
      <w:pBdr>
        <w:top w:val="single" w:sz="4" w:space="1" w:color="auto"/>
      </w:pBdr>
      <w:spacing w:line="160" w:lineRule="exact"/>
    </w:pPr>
    <w:rPr>
      <w:rFonts w:ascii="Arial" w:hAnsi="Arial"/>
      <w:sz w:val="22"/>
      <w:szCs w:val="22"/>
      <w:lang w:eastAsia="de-DE"/>
    </w:rPr>
  </w:style>
  <w:style w:type="paragraph" w:customStyle="1" w:styleId="ZLinie2CDB">
    <w:name w:val="Z_Linie2_CDB"/>
    <w:next w:val="TextCDB"/>
    <w:rsid w:val="009B5AC1"/>
    <w:pPr>
      <w:pBdr>
        <w:bottom w:val="single" w:sz="4" w:space="1" w:color="auto"/>
      </w:pBdr>
      <w:spacing w:line="160" w:lineRule="exact"/>
    </w:pPr>
    <w:rPr>
      <w:rFonts w:ascii="Arial" w:hAnsi="Arial"/>
      <w:sz w:val="22"/>
      <w:szCs w:val="22"/>
      <w:lang w:eastAsia="de-DE"/>
    </w:rPr>
  </w:style>
  <w:style w:type="character" w:customStyle="1" w:styleId="ZPP">
    <w:name w:val="Z_PP"/>
    <w:rsid w:val="009B5AC1"/>
    <w:rPr>
      <w:rFonts w:ascii="Arial" w:hAnsi="Arial"/>
      <w:b/>
      <w:sz w:val="24"/>
      <w:szCs w:val="24"/>
    </w:rPr>
  </w:style>
  <w:style w:type="paragraph" w:customStyle="1" w:styleId="ZTitelFolgeseitenCDB">
    <w:name w:val="Z_Titel_Folgeseiten_CDB"/>
    <w:basedOn w:val="Standard"/>
    <w:rsid w:val="009B5AC1"/>
    <w:pPr>
      <w:spacing w:line="240" w:lineRule="atLeast"/>
    </w:pPr>
    <w:rPr>
      <w:b/>
      <w:sz w:val="15"/>
      <w:szCs w:val="15"/>
    </w:rPr>
  </w:style>
  <w:style w:type="paragraph" w:customStyle="1" w:styleId="ZTraktandenCDB">
    <w:name w:val="Z_Traktanden_CDB"/>
    <w:basedOn w:val="TextCDB"/>
    <w:rsid w:val="009B5AC1"/>
    <w:pPr>
      <w:numPr>
        <w:numId w:val="32"/>
      </w:numPr>
      <w:spacing w:line="240" w:lineRule="atLeast"/>
    </w:pPr>
    <w:rPr>
      <w:b/>
    </w:rPr>
  </w:style>
  <w:style w:type="paragraph" w:customStyle="1" w:styleId="ZBegleitblattCDB">
    <w:name w:val="Z_Begleitblatt_CDB"/>
    <w:basedOn w:val="Standard"/>
    <w:rsid w:val="009B5AC1"/>
    <w:pPr>
      <w:spacing w:after="199"/>
    </w:pPr>
    <w:rPr>
      <w:b/>
      <w:bCs/>
      <w:sz w:val="15"/>
    </w:rPr>
  </w:style>
  <w:style w:type="paragraph" w:customStyle="1" w:styleId="NotizTitel">
    <w:name w:val="Notiz Titel"/>
    <w:basedOn w:val="ZTitelCDB"/>
    <w:next w:val="NotizTextEFV"/>
    <w:rsid w:val="009B5AC1"/>
    <w:pPr>
      <w:tabs>
        <w:tab w:val="left" w:pos="4253"/>
      </w:tabs>
    </w:pPr>
    <w:rPr>
      <w:sz w:val="28"/>
    </w:rPr>
  </w:style>
  <w:style w:type="paragraph" w:customStyle="1" w:styleId="FormatvorlageZAdressatfettCDBRechts">
    <w:name w:val="Formatvorlage Z_Adressat_fett_CDB + Rechts"/>
    <w:basedOn w:val="ZAdressatfettCDB"/>
    <w:rsid w:val="009B5AC1"/>
    <w:pPr>
      <w:jc w:val="right"/>
    </w:pPr>
    <w:rPr>
      <w:bCs/>
    </w:rPr>
  </w:style>
  <w:style w:type="paragraph" w:customStyle="1" w:styleId="TabelleAufzhlungnumCDB">
    <w:name w:val="Tabelle_Aufzählung_num_CDB"/>
    <w:basedOn w:val="AufzhlungNumm1CDB"/>
    <w:rsid w:val="009B5AC1"/>
    <w:pPr>
      <w:numPr>
        <w:numId w:val="0"/>
      </w:numPr>
      <w:spacing w:before="40" w:after="80"/>
    </w:pPr>
  </w:style>
  <w:style w:type="paragraph" w:customStyle="1" w:styleId="TabelleBulletCDB">
    <w:name w:val="Tabelle_Bullet_CDB"/>
    <w:basedOn w:val="Aufzhlung1CDB"/>
    <w:rsid w:val="009B5AC1"/>
    <w:pPr>
      <w:numPr>
        <w:numId w:val="0"/>
      </w:numPr>
      <w:spacing w:before="40" w:after="80"/>
    </w:pPr>
  </w:style>
  <w:style w:type="paragraph" w:customStyle="1" w:styleId="Notizberschrift1">
    <w:name w:val="Notiz Überschrift 1"/>
    <w:basedOn w:val="berschrift1"/>
    <w:next w:val="NotizTextEFV"/>
    <w:rsid w:val="009B5AC1"/>
    <w:pPr>
      <w:numPr>
        <w:numId w:val="31"/>
      </w:numPr>
    </w:pPr>
    <w:rPr>
      <w:sz w:val="26"/>
    </w:rPr>
  </w:style>
  <w:style w:type="paragraph" w:customStyle="1" w:styleId="Notizberschrift2">
    <w:name w:val="Notiz Überschrift 2"/>
    <w:basedOn w:val="berschrift2"/>
    <w:next w:val="NotizTextEFV"/>
    <w:rsid w:val="009B5AC1"/>
    <w:pPr>
      <w:numPr>
        <w:ilvl w:val="1"/>
        <w:numId w:val="31"/>
      </w:numPr>
    </w:pPr>
    <w:rPr>
      <w:sz w:val="22"/>
    </w:rPr>
  </w:style>
  <w:style w:type="paragraph" w:customStyle="1" w:styleId="Notizberschrift3">
    <w:name w:val="Notiz Überschrift 3"/>
    <w:basedOn w:val="berschrift3"/>
    <w:next w:val="NotizTextEFV"/>
    <w:rsid w:val="009B5AC1"/>
    <w:pPr>
      <w:numPr>
        <w:ilvl w:val="2"/>
        <w:numId w:val="31"/>
      </w:numPr>
    </w:pPr>
    <w:rPr>
      <w:sz w:val="22"/>
    </w:rPr>
  </w:style>
  <w:style w:type="paragraph" w:customStyle="1" w:styleId="Notizberschrift4">
    <w:name w:val="Notiz Überschrift 4"/>
    <w:basedOn w:val="berschrift4"/>
    <w:next w:val="NotizTextEFV"/>
    <w:rsid w:val="009B5AC1"/>
    <w:pPr>
      <w:numPr>
        <w:ilvl w:val="3"/>
        <w:numId w:val="31"/>
      </w:numPr>
    </w:pPr>
    <w:rPr>
      <w:b w:val="0"/>
      <w:sz w:val="22"/>
    </w:rPr>
  </w:style>
  <w:style w:type="paragraph" w:customStyle="1" w:styleId="Notizberschrift5">
    <w:name w:val="Notiz Überschrift 5"/>
    <w:basedOn w:val="berschrift5"/>
    <w:next w:val="NotizTextEFV"/>
    <w:rsid w:val="009B5AC1"/>
    <w:pPr>
      <w:numPr>
        <w:ilvl w:val="4"/>
        <w:numId w:val="31"/>
      </w:numPr>
    </w:pPr>
  </w:style>
  <w:style w:type="paragraph" w:customStyle="1" w:styleId="Formatvorlage1">
    <w:name w:val="Formatvorlage1"/>
    <w:basedOn w:val="TextCDB"/>
    <w:rsid w:val="009B5AC1"/>
    <w:pPr>
      <w:spacing w:after="120"/>
    </w:pPr>
  </w:style>
  <w:style w:type="paragraph" w:customStyle="1" w:styleId="NotizTextEFV">
    <w:name w:val="Notiz Text EFV"/>
    <w:basedOn w:val="TextCDB"/>
    <w:rsid w:val="009B5AC1"/>
    <w:pPr>
      <w:spacing w:after="120"/>
    </w:pPr>
  </w:style>
  <w:style w:type="paragraph" w:styleId="Sprechblasentext">
    <w:name w:val="Balloon Text"/>
    <w:basedOn w:val="Standard"/>
    <w:link w:val="SprechblasentextZchn"/>
    <w:uiPriority w:val="99"/>
    <w:semiHidden/>
    <w:unhideWhenUsed/>
    <w:rsid w:val="0055572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726"/>
    <w:rPr>
      <w:rFonts w:ascii="Tahoma" w:hAnsi="Tahoma" w:cs="Tahoma"/>
      <w:sz w:val="16"/>
      <w:szCs w:val="16"/>
      <w:lang w:eastAsia="de-DE"/>
    </w:rPr>
  </w:style>
  <w:style w:type="paragraph" w:customStyle="1" w:styleId="KopfzeileDepartement">
    <w:name w:val="KopfzeileDepartement"/>
    <w:basedOn w:val="Kopfzeile"/>
    <w:next w:val="KopfzeileFett"/>
    <w:uiPriority w:val="3"/>
    <w:semiHidden/>
    <w:unhideWhenUsed/>
    <w:rsid w:val="00CA6BA8"/>
    <w:pPr>
      <w:widowControl w:val="0"/>
      <w:spacing w:after="100" w:line="200" w:lineRule="atLeast"/>
      <w:contextualSpacing/>
    </w:pPr>
    <w:rPr>
      <w:rFonts w:eastAsiaTheme="minorHAnsi" w:cstheme="minorBidi"/>
      <w:lang w:eastAsia="en-US"/>
    </w:rPr>
  </w:style>
  <w:style w:type="paragraph" w:customStyle="1" w:styleId="KopfzeileFett">
    <w:name w:val="KopfzeileFett"/>
    <w:basedOn w:val="Kopfzeile"/>
    <w:next w:val="Kopfzeile"/>
    <w:uiPriority w:val="3"/>
    <w:semiHidden/>
    <w:unhideWhenUsed/>
    <w:rsid w:val="00CA6BA8"/>
    <w:pPr>
      <w:widowControl w:val="0"/>
      <w:spacing w:line="200" w:lineRule="atLeast"/>
    </w:pPr>
    <w:rPr>
      <w:rFonts w:eastAsiaTheme="minorHAnsi" w:cstheme="minorBidi"/>
      <w:b/>
      <w:lang w:eastAsia="en-US"/>
    </w:rPr>
  </w:style>
  <w:style w:type="paragraph" w:customStyle="1" w:styleId="Text75FussErsteSEite">
    <w:name w:val="Text 7.5 Fuss Erste SEite"/>
    <w:link w:val="Text75FussErsteSEiteZchn"/>
    <w:uiPriority w:val="99"/>
    <w:unhideWhenUsed/>
    <w:rsid w:val="00D02E29"/>
    <w:pPr>
      <w:spacing w:line="200" w:lineRule="exact"/>
    </w:pPr>
    <w:rPr>
      <w:rFonts w:asciiTheme="minorHAnsi" w:eastAsiaTheme="minorHAnsi" w:hAnsiTheme="minorHAnsi" w:cstheme="minorBidi"/>
      <w:sz w:val="15"/>
      <w:lang w:val="en-US" w:eastAsia="en-US"/>
    </w:rPr>
  </w:style>
  <w:style w:type="character" w:customStyle="1" w:styleId="Text75FussErsteSEiteZchn">
    <w:name w:val="Text 7.5 Fuss Erste SEite Zchn"/>
    <w:basedOn w:val="Absatz-Standardschriftart"/>
    <w:link w:val="Text75FussErsteSEite"/>
    <w:uiPriority w:val="99"/>
    <w:rsid w:val="00D02E29"/>
    <w:rPr>
      <w:rFonts w:asciiTheme="minorHAnsi" w:eastAsiaTheme="minorHAnsi" w:hAnsiTheme="minorHAnsi" w:cstheme="minorBidi"/>
      <w:sz w:val="15"/>
      <w:lang w:val="en-US" w:eastAsia="en-US"/>
    </w:rPr>
  </w:style>
  <w:style w:type="paragraph" w:customStyle="1" w:styleId="Referenz">
    <w:name w:val="Referenz"/>
    <w:basedOn w:val="Standard"/>
    <w:uiPriority w:val="1"/>
    <w:rsid w:val="00D02E29"/>
    <w:pPr>
      <w:widowControl w:val="0"/>
      <w:suppressAutoHyphens/>
      <w:spacing w:line="200" w:lineRule="atLeast"/>
    </w:pPr>
    <w:rPr>
      <w:rFonts w:eastAsiaTheme="minorHAnsi" w:cstheme="minorBidi"/>
      <w:sz w:val="15"/>
      <w:szCs w:val="22"/>
      <w:lang w:eastAsia="en-US"/>
    </w:rPr>
  </w:style>
  <w:style w:type="character" w:customStyle="1" w:styleId="berschrift1Zchn">
    <w:name w:val="Überschrift 1 Zchn"/>
    <w:basedOn w:val="Absatz-Standardschriftart"/>
    <w:link w:val="berschrift1"/>
    <w:rsid w:val="00686684"/>
    <w:rPr>
      <w:rFonts w:ascii="Arial" w:hAnsi="Arial" w:cs="Arial"/>
      <w:b/>
      <w:bCs/>
      <w:kern w:val="28"/>
      <w:sz w:val="36"/>
      <w:szCs w:val="32"/>
    </w:rPr>
  </w:style>
  <w:style w:type="paragraph" w:styleId="Kommentartext">
    <w:name w:val="annotation text"/>
    <w:basedOn w:val="Standard"/>
    <w:link w:val="KommentartextZchn"/>
    <w:semiHidden/>
    <w:unhideWhenUsed/>
    <w:rsid w:val="00686684"/>
  </w:style>
  <w:style w:type="character" w:customStyle="1" w:styleId="KommentartextZchn">
    <w:name w:val="Kommentartext Zchn"/>
    <w:basedOn w:val="Absatz-Standardschriftart"/>
    <w:link w:val="Kommentartext"/>
    <w:semiHidden/>
    <w:rsid w:val="00686684"/>
    <w:rPr>
      <w:rFonts w:ascii="Arial" w:hAnsi="Arial"/>
    </w:rPr>
  </w:style>
  <w:style w:type="character" w:styleId="Kommentarzeichen">
    <w:name w:val="annotation reference"/>
    <w:uiPriority w:val="99"/>
    <w:semiHidden/>
    <w:unhideWhenUsed/>
    <w:rsid w:val="00686684"/>
    <w:rPr>
      <w:sz w:val="16"/>
      <w:szCs w:val="16"/>
    </w:rPr>
  </w:style>
  <w:style w:type="paragraph" w:customStyle="1" w:styleId="Abstand18pt">
    <w:name w:val="Abstand /18pt"/>
    <w:rsid w:val="00595D4E"/>
    <w:pPr>
      <w:spacing w:before="340" w:line="20" w:lineRule="exact"/>
    </w:pPr>
    <w:rPr>
      <w:b/>
      <w:bCs/>
      <w:color w:val="008000"/>
      <w:sz w:val="290"/>
      <w:szCs w:val="290"/>
      <w:lang w:eastAsia="de-DE"/>
    </w:rPr>
  </w:style>
  <w:style w:type="paragraph" w:styleId="Kommentarthema">
    <w:name w:val="annotation subject"/>
    <w:basedOn w:val="Kommentartext"/>
    <w:next w:val="Kommentartext"/>
    <w:link w:val="KommentarthemaZchn"/>
    <w:uiPriority w:val="99"/>
    <w:semiHidden/>
    <w:unhideWhenUsed/>
    <w:rsid w:val="008C52EF"/>
    <w:pPr>
      <w:spacing w:line="240" w:lineRule="auto"/>
    </w:pPr>
    <w:rPr>
      <w:b/>
      <w:bCs/>
    </w:rPr>
  </w:style>
  <w:style w:type="character" w:customStyle="1" w:styleId="KommentarthemaZchn">
    <w:name w:val="Kommentarthema Zchn"/>
    <w:basedOn w:val="KommentartextZchn"/>
    <w:link w:val="Kommentarthema"/>
    <w:uiPriority w:val="99"/>
    <w:semiHidden/>
    <w:rsid w:val="008C52EF"/>
    <w:rPr>
      <w:rFonts w:ascii="Arial" w:hAnsi="Arial"/>
      <w:b/>
      <w:bCs/>
    </w:rPr>
  </w:style>
  <w:style w:type="character" w:styleId="Hyperlink">
    <w:name w:val="Hyperlink"/>
    <w:basedOn w:val="Absatz-Standardschriftart"/>
    <w:uiPriority w:val="99"/>
    <w:unhideWhenUsed/>
    <w:rsid w:val="00FF5670"/>
    <w:rPr>
      <w:color w:val="0000FF" w:themeColor="hyperlink"/>
      <w:u w:val="single"/>
    </w:rPr>
  </w:style>
  <w:style w:type="paragraph" w:styleId="Listenabsatz">
    <w:name w:val="List Paragraph"/>
    <w:basedOn w:val="Standard"/>
    <w:uiPriority w:val="34"/>
    <w:qFormat/>
    <w:rsid w:val="000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7642">
      <w:bodyDiv w:val="1"/>
      <w:marLeft w:val="0"/>
      <w:marRight w:val="0"/>
      <w:marTop w:val="0"/>
      <w:marBottom w:val="0"/>
      <w:divBdr>
        <w:top w:val="none" w:sz="0" w:space="0" w:color="auto"/>
        <w:left w:val="none" w:sz="0" w:space="0" w:color="auto"/>
        <w:bottom w:val="none" w:sz="0" w:space="0" w:color="auto"/>
        <w:right w:val="none" w:sz="0" w:space="0" w:color="auto"/>
      </w:divBdr>
    </w:div>
    <w:div w:id="583957544">
      <w:bodyDiv w:val="1"/>
      <w:marLeft w:val="0"/>
      <w:marRight w:val="0"/>
      <w:marTop w:val="0"/>
      <w:marBottom w:val="0"/>
      <w:divBdr>
        <w:top w:val="none" w:sz="0" w:space="0" w:color="auto"/>
        <w:left w:val="none" w:sz="0" w:space="0" w:color="auto"/>
        <w:bottom w:val="none" w:sz="0" w:space="0" w:color="auto"/>
        <w:right w:val="none" w:sz="0" w:space="0" w:color="auto"/>
      </w:divBdr>
    </w:div>
    <w:div w:id="6442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15379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Notiz</vt:lpstr>
    </vt:vector>
  </TitlesOfParts>
  <Company>Bundesverwaltung</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dc:title>
  <dc:creator>Hohl Lukas EFV</dc:creator>
  <cp:lastModifiedBy>Huber Samuel</cp:lastModifiedBy>
  <cp:revision>6</cp:revision>
  <cp:lastPrinted>2005-10-12T13:45:00Z</cp:lastPrinted>
  <dcterms:created xsi:type="dcterms:W3CDTF">2020-11-12T06:32:00Z</dcterms:created>
  <dcterms:modified xsi:type="dcterms:W3CDTF">2020-11-12T12:53:00Z</dcterms:modified>
</cp:coreProperties>
</file>